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0AFF3" w14:textId="77777777" w:rsidR="0069243F" w:rsidRDefault="00711F2C" w:rsidP="006A23D1">
      <w:pPr>
        <w:jc w:val="center"/>
        <w:rPr>
          <w:rFonts w:ascii="Times New Roman" w:hAnsi="Times New Roman" w:cs="Times New Roman"/>
          <w:sz w:val="24"/>
          <w:szCs w:val="24"/>
        </w:rPr>
      </w:pPr>
      <w:r>
        <w:rPr>
          <w:noProof/>
        </w:rPr>
        <w:drawing>
          <wp:inline distT="0" distB="0" distL="0" distR="0" wp14:anchorId="6FF949FC" wp14:editId="499841B5">
            <wp:extent cx="2066096" cy="103662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2170121" cy="1088822"/>
                    </a:xfrm>
                    <a:prstGeom prst="rect">
                      <a:avLst/>
                    </a:prstGeom>
                    <a:noFill/>
                  </pic:spPr>
                </pic:pic>
              </a:graphicData>
            </a:graphic>
          </wp:inline>
        </w:drawing>
      </w:r>
    </w:p>
    <w:p w14:paraId="61AAB0E7" w14:textId="77777777" w:rsidR="000C2367" w:rsidRDefault="00D749A4" w:rsidP="00584802">
      <w:pPr>
        <w:rPr>
          <w:rFonts w:ascii="Times New Roman" w:hAnsi="Times New Roman" w:cs="Times New Roman"/>
          <w:color w:val="000000" w:themeColor="text1"/>
          <w:sz w:val="24"/>
          <w:szCs w:val="24"/>
        </w:rPr>
      </w:pPr>
    </w:p>
    <w:p w14:paraId="6C516D86" w14:textId="77777777" w:rsidR="006E4754" w:rsidRPr="00DF725B" w:rsidRDefault="00D749A4" w:rsidP="00584802">
      <w:pPr>
        <w:rPr>
          <w:rFonts w:ascii="Times New Roman" w:hAnsi="Times New Roman" w:cs="Times New Roman"/>
          <w:color w:val="000000" w:themeColor="text1"/>
          <w:sz w:val="24"/>
          <w:szCs w:val="24"/>
        </w:rPr>
      </w:pPr>
    </w:p>
    <w:p w14:paraId="0AE3A532" w14:textId="269C5035" w:rsidR="00115E16" w:rsidRDefault="00711F2C" w:rsidP="009C3CE7">
      <w:pPr>
        <w:jc w:val="center"/>
        <w:rPr>
          <w:rFonts w:ascii="Arial" w:hAnsi="Arial" w:cs="Arial"/>
          <w:b/>
          <w:i/>
          <w:sz w:val="32"/>
          <w:szCs w:val="32"/>
          <w:u w:val="single"/>
        </w:rPr>
      </w:pPr>
      <w:r w:rsidRPr="000C2367">
        <w:rPr>
          <w:rFonts w:ascii="Arial" w:hAnsi="Arial" w:cs="Arial"/>
          <w:b/>
          <w:i/>
          <w:sz w:val="32"/>
          <w:szCs w:val="32"/>
          <w:u w:val="single"/>
        </w:rPr>
        <w:t>202</w:t>
      </w:r>
      <w:r w:rsidR="00B34CE2">
        <w:rPr>
          <w:rFonts w:ascii="Arial" w:hAnsi="Arial" w:cs="Arial"/>
          <w:b/>
          <w:i/>
          <w:sz w:val="32"/>
          <w:szCs w:val="32"/>
          <w:u w:val="single"/>
        </w:rPr>
        <w:t>6</w:t>
      </w:r>
      <w:r w:rsidRPr="000C2367">
        <w:rPr>
          <w:rFonts w:ascii="Arial" w:hAnsi="Arial" w:cs="Arial"/>
          <w:b/>
          <w:i/>
          <w:sz w:val="32"/>
          <w:szCs w:val="32"/>
          <w:u w:val="single"/>
        </w:rPr>
        <w:t xml:space="preserve"> Mid-Year Update</w:t>
      </w:r>
    </w:p>
    <w:p w14:paraId="55BDCE34" w14:textId="6D9C8FA2" w:rsidR="008344C6" w:rsidRPr="008344C6" w:rsidRDefault="008344C6" w:rsidP="009C3CE7">
      <w:pPr>
        <w:jc w:val="center"/>
        <w:rPr>
          <w:rFonts w:ascii="Arial" w:hAnsi="Arial" w:cs="Arial"/>
          <w:bCs/>
          <w:iCs/>
          <w:sz w:val="32"/>
          <w:szCs w:val="32"/>
        </w:rPr>
      </w:pPr>
    </w:p>
    <w:p w14:paraId="5A4517D9" w14:textId="77777777" w:rsidR="00115E16" w:rsidRPr="008344C6" w:rsidRDefault="00D749A4" w:rsidP="00115E16">
      <w:pPr>
        <w:rPr>
          <w:bCs/>
          <w:iCs/>
        </w:rPr>
      </w:pPr>
    </w:p>
    <w:p w14:paraId="7CACD74A" w14:textId="77777777" w:rsidR="00F77C7D" w:rsidRPr="00F77C7D" w:rsidRDefault="00D749A4" w:rsidP="00F77C7D">
      <w:pPr>
        <w:spacing w:line="300" w:lineRule="atLeast"/>
        <w:rPr>
          <w:rFonts w:ascii="Segoe UI" w:eastAsia="Times New Roman" w:hAnsi="Segoe UI" w:cs="Segoe UI"/>
          <w:sz w:val="21"/>
          <w:szCs w:val="21"/>
        </w:rPr>
      </w:pPr>
      <w:r>
        <w:rPr>
          <w:rFonts w:ascii="Segoe UI" w:eastAsia="Times New Roman" w:hAnsi="Segoe UI" w:cs="Segoe UI"/>
          <w:sz w:val="21"/>
          <w:szCs w:val="21"/>
        </w:rPr>
        <w:pict w14:anchorId="673E8406">
          <v:rect id="_x0000_i1025" style="width:0;height:1.5pt" o:hralign="center" o:hrstd="t" o:hr="t" fillcolor="#a0a0a0" stroked="f"/>
        </w:pict>
      </w:r>
    </w:p>
    <w:p w14:paraId="0DCC207B" w14:textId="77777777" w:rsidR="00F77C7D" w:rsidRPr="00F77C7D" w:rsidRDefault="00F77C7D" w:rsidP="00F77C7D">
      <w:pPr>
        <w:spacing w:before="100" w:beforeAutospacing="1" w:after="100" w:afterAutospacing="1" w:line="300" w:lineRule="atLeast"/>
        <w:outlineLvl w:val="0"/>
        <w:rPr>
          <w:rFonts w:ascii="Segoe UI" w:eastAsia="Times New Roman" w:hAnsi="Segoe UI" w:cs="Segoe UI"/>
          <w:b/>
          <w:bCs/>
          <w:kern w:val="36"/>
          <w:sz w:val="48"/>
          <w:szCs w:val="48"/>
        </w:rPr>
      </w:pPr>
      <w:r w:rsidRPr="00F77C7D">
        <w:rPr>
          <w:rFonts w:ascii="Segoe UI" w:eastAsia="Times New Roman" w:hAnsi="Segoe UI" w:cs="Segoe UI"/>
          <w:b/>
          <w:bCs/>
          <w:kern w:val="36"/>
          <w:sz w:val="48"/>
          <w:szCs w:val="48"/>
        </w:rPr>
        <w:t>CATA 2026 Mid-Year Update</w:t>
      </w:r>
    </w:p>
    <w:p w14:paraId="6B06C60E" w14:textId="77777777" w:rsidR="00F77C7D" w:rsidRPr="00F77C7D" w:rsidRDefault="00F77C7D" w:rsidP="00F77C7D">
      <w:pPr>
        <w:spacing w:before="100" w:beforeAutospacing="1" w:after="100" w:afterAutospacing="1" w:line="300" w:lineRule="atLeast"/>
        <w:outlineLvl w:val="2"/>
        <w:rPr>
          <w:rFonts w:ascii="Segoe UI" w:eastAsia="Times New Roman" w:hAnsi="Segoe UI" w:cs="Segoe UI"/>
          <w:b/>
          <w:bCs/>
          <w:sz w:val="27"/>
          <w:szCs w:val="27"/>
        </w:rPr>
      </w:pPr>
      <w:r w:rsidRPr="00F77C7D">
        <w:rPr>
          <w:rFonts w:ascii="Segoe UI" w:eastAsia="Times New Roman" w:hAnsi="Segoe UI" w:cs="Segoe UI"/>
          <w:b/>
          <w:bCs/>
          <w:sz w:val="27"/>
          <w:szCs w:val="27"/>
        </w:rPr>
        <w:t>For CATA Members and Interested Parties</w:t>
      </w:r>
    </w:p>
    <w:p w14:paraId="7DE8E9D7" w14:textId="77777777" w:rsidR="00F77C7D" w:rsidRPr="00F77C7D" w:rsidRDefault="00F77C7D" w:rsidP="00F77C7D">
      <w:pPr>
        <w:spacing w:before="100" w:beforeAutospacing="1" w:after="100" w:afterAutospacing="1" w:line="300" w:lineRule="atLeast"/>
        <w:outlineLvl w:val="1"/>
        <w:rPr>
          <w:rFonts w:ascii="Segoe UI" w:eastAsia="Times New Roman" w:hAnsi="Segoe UI" w:cs="Segoe UI"/>
          <w:b/>
          <w:bCs/>
          <w:sz w:val="36"/>
          <w:szCs w:val="36"/>
        </w:rPr>
      </w:pPr>
      <w:r w:rsidRPr="00F77C7D">
        <w:rPr>
          <w:rFonts w:ascii="Segoe UI" w:eastAsia="Times New Roman" w:hAnsi="Segoe UI" w:cs="Segoe UI"/>
          <w:b/>
          <w:bCs/>
          <w:sz w:val="36"/>
          <w:szCs w:val="36"/>
        </w:rPr>
        <w:t>Introduction</w:t>
      </w:r>
    </w:p>
    <w:p w14:paraId="6B5FC687" w14:textId="77777777" w:rsidR="00F77C7D" w:rsidRPr="00F77C7D" w:rsidRDefault="00F77C7D" w:rsidP="00F77C7D">
      <w:pPr>
        <w:spacing w:before="100" w:beforeAutospacing="1" w:after="100" w:afterAutospacing="1" w:line="300" w:lineRule="atLeast"/>
        <w:rPr>
          <w:rFonts w:ascii="Segoe UI" w:eastAsia="Times New Roman" w:hAnsi="Segoe UI" w:cs="Segoe UI"/>
          <w:sz w:val="21"/>
          <w:szCs w:val="21"/>
        </w:rPr>
      </w:pPr>
      <w:r w:rsidRPr="00F77C7D">
        <w:rPr>
          <w:rFonts w:ascii="Segoe UI" w:eastAsia="Times New Roman" w:hAnsi="Segoe UI" w:cs="Segoe UI"/>
          <w:sz w:val="21"/>
          <w:szCs w:val="21"/>
        </w:rPr>
        <w:t>CATA has had a productive and active first half of 2026. Our organization has been engaged with the California State Board of Equalization (SBOE) and various stakeholder work groups addressing:</w:t>
      </w:r>
    </w:p>
    <w:p w14:paraId="545018C3" w14:textId="77777777" w:rsidR="00F77C7D" w:rsidRPr="00F77C7D" w:rsidRDefault="00F77C7D" w:rsidP="00F77C7D">
      <w:pPr>
        <w:numPr>
          <w:ilvl w:val="0"/>
          <w:numId w:val="12"/>
        </w:numPr>
        <w:spacing w:before="100" w:beforeAutospacing="1" w:after="100" w:afterAutospacing="1" w:line="300" w:lineRule="atLeast"/>
        <w:rPr>
          <w:rFonts w:ascii="Segoe UI" w:eastAsia="Times New Roman" w:hAnsi="Segoe UI" w:cs="Segoe UI"/>
          <w:sz w:val="21"/>
          <w:szCs w:val="21"/>
        </w:rPr>
      </w:pPr>
      <w:r w:rsidRPr="00F77C7D">
        <w:rPr>
          <w:rFonts w:ascii="Segoe UI" w:eastAsia="Times New Roman" w:hAnsi="Segoe UI" w:cs="Segoe UI"/>
          <w:sz w:val="21"/>
          <w:szCs w:val="21"/>
        </w:rPr>
        <w:t>Assessment Standards</w:t>
      </w:r>
    </w:p>
    <w:p w14:paraId="1FD2C416" w14:textId="77777777" w:rsidR="00F77C7D" w:rsidRPr="00F77C7D" w:rsidRDefault="00F77C7D" w:rsidP="00F77C7D">
      <w:pPr>
        <w:numPr>
          <w:ilvl w:val="0"/>
          <w:numId w:val="12"/>
        </w:numPr>
        <w:spacing w:before="100" w:beforeAutospacing="1" w:after="100" w:afterAutospacing="1" w:line="300" w:lineRule="atLeast"/>
        <w:rPr>
          <w:rFonts w:ascii="Segoe UI" w:eastAsia="Times New Roman" w:hAnsi="Segoe UI" w:cs="Segoe UI"/>
          <w:sz w:val="21"/>
          <w:szCs w:val="21"/>
        </w:rPr>
      </w:pPr>
      <w:r w:rsidRPr="00F77C7D">
        <w:rPr>
          <w:rFonts w:ascii="Segoe UI" w:eastAsia="Times New Roman" w:hAnsi="Segoe UI" w:cs="Segoe UI"/>
          <w:sz w:val="21"/>
          <w:szCs w:val="21"/>
        </w:rPr>
        <w:t>Assessment Appeal Processes</w:t>
      </w:r>
    </w:p>
    <w:p w14:paraId="73B95243" w14:textId="77777777" w:rsidR="00F77C7D" w:rsidRPr="00F77C7D" w:rsidRDefault="00F77C7D" w:rsidP="00F77C7D">
      <w:pPr>
        <w:numPr>
          <w:ilvl w:val="0"/>
          <w:numId w:val="12"/>
        </w:numPr>
        <w:spacing w:before="100" w:beforeAutospacing="1" w:after="100" w:afterAutospacing="1" w:line="300" w:lineRule="atLeast"/>
        <w:rPr>
          <w:rFonts w:ascii="Segoe UI" w:eastAsia="Times New Roman" w:hAnsi="Segoe UI" w:cs="Segoe UI"/>
          <w:sz w:val="21"/>
          <w:szCs w:val="21"/>
        </w:rPr>
      </w:pPr>
      <w:r w:rsidRPr="00F77C7D">
        <w:rPr>
          <w:rFonts w:ascii="Segoe UI" w:eastAsia="Times New Roman" w:hAnsi="Segoe UI" w:cs="Segoe UI"/>
          <w:sz w:val="21"/>
          <w:szCs w:val="21"/>
        </w:rPr>
        <w:t>Digital Signatures</w:t>
      </w:r>
    </w:p>
    <w:p w14:paraId="2795BF1D" w14:textId="77777777" w:rsidR="00F77C7D" w:rsidRPr="00F77C7D" w:rsidRDefault="00F77C7D" w:rsidP="00F77C7D">
      <w:pPr>
        <w:numPr>
          <w:ilvl w:val="0"/>
          <w:numId w:val="12"/>
        </w:numPr>
        <w:spacing w:before="100" w:beforeAutospacing="1" w:after="100" w:afterAutospacing="1" w:line="300" w:lineRule="atLeast"/>
        <w:rPr>
          <w:rFonts w:ascii="Segoe UI" w:eastAsia="Times New Roman" w:hAnsi="Segoe UI" w:cs="Segoe UI"/>
          <w:sz w:val="21"/>
          <w:szCs w:val="21"/>
        </w:rPr>
      </w:pPr>
      <w:r w:rsidRPr="00F77C7D">
        <w:rPr>
          <w:rFonts w:ascii="Segoe UI" w:eastAsia="Times New Roman" w:hAnsi="Segoe UI" w:cs="Segoe UI"/>
          <w:sz w:val="21"/>
          <w:szCs w:val="21"/>
        </w:rPr>
        <w:t>Intangible Asset Valuation</w:t>
      </w:r>
    </w:p>
    <w:p w14:paraId="36D18F3B" w14:textId="77777777" w:rsidR="00F77C7D" w:rsidRPr="00F77C7D" w:rsidRDefault="00F77C7D" w:rsidP="00F77C7D">
      <w:pPr>
        <w:numPr>
          <w:ilvl w:val="0"/>
          <w:numId w:val="12"/>
        </w:numPr>
        <w:spacing w:before="100" w:beforeAutospacing="1" w:after="100" w:afterAutospacing="1" w:line="300" w:lineRule="atLeast"/>
        <w:rPr>
          <w:rFonts w:ascii="Segoe UI" w:eastAsia="Times New Roman" w:hAnsi="Segoe UI" w:cs="Segoe UI"/>
          <w:sz w:val="21"/>
          <w:szCs w:val="21"/>
        </w:rPr>
      </w:pPr>
      <w:r w:rsidRPr="00F77C7D">
        <w:rPr>
          <w:rFonts w:ascii="Segoe UI" w:eastAsia="Times New Roman" w:hAnsi="Segoe UI" w:cs="Segoe UI"/>
          <w:sz w:val="21"/>
          <w:szCs w:val="21"/>
        </w:rPr>
        <w:t>Updates to Assessor's Handbook Section 502 (Valuation Approaches)</w:t>
      </w:r>
    </w:p>
    <w:p w14:paraId="2070A027" w14:textId="77777777" w:rsidR="00F77C7D" w:rsidRPr="00F77C7D" w:rsidRDefault="00F77C7D" w:rsidP="00F77C7D">
      <w:pPr>
        <w:spacing w:before="100" w:beforeAutospacing="1" w:after="100" w:afterAutospacing="1" w:line="300" w:lineRule="atLeast"/>
        <w:rPr>
          <w:rFonts w:ascii="Segoe UI" w:eastAsia="Times New Roman" w:hAnsi="Segoe UI" w:cs="Segoe UI"/>
          <w:sz w:val="21"/>
          <w:szCs w:val="21"/>
        </w:rPr>
      </w:pPr>
      <w:r w:rsidRPr="00F77C7D">
        <w:rPr>
          <w:rFonts w:ascii="Segoe UI" w:eastAsia="Times New Roman" w:hAnsi="Segoe UI" w:cs="Segoe UI"/>
          <w:sz w:val="21"/>
          <w:szCs w:val="21"/>
        </w:rPr>
        <w:t>These efforts are focused on improving consistency, transparency, efficiency, and fairness in California's property tax system.</w:t>
      </w:r>
    </w:p>
    <w:p w14:paraId="1BBCCA38" w14:textId="77777777" w:rsidR="00F77C7D" w:rsidRPr="00F77C7D" w:rsidRDefault="00D749A4" w:rsidP="00F77C7D">
      <w:pPr>
        <w:spacing w:line="300" w:lineRule="atLeast"/>
        <w:rPr>
          <w:rFonts w:ascii="Segoe UI" w:eastAsia="Times New Roman" w:hAnsi="Segoe UI" w:cs="Segoe UI"/>
          <w:sz w:val="21"/>
          <w:szCs w:val="21"/>
        </w:rPr>
      </w:pPr>
      <w:r>
        <w:rPr>
          <w:rFonts w:ascii="Segoe UI" w:eastAsia="Times New Roman" w:hAnsi="Segoe UI" w:cs="Segoe UI"/>
          <w:sz w:val="21"/>
          <w:szCs w:val="21"/>
        </w:rPr>
        <w:pict w14:anchorId="645BCD1E">
          <v:rect id="_x0000_i1026" style="width:0;height:1.5pt" o:hralign="center" o:hrstd="t" o:hr="t" fillcolor="#a0a0a0" stroked="f"/>
        </w:pict>
      </w:r>
    </w:p>
    <w:p w14:paraId="34A675D9" w14:textId="77777777" w:rsidR="00F77C7D" w:rsidRPr="00F77C7D" w:rsidRDefault="00F77C7D" w:rsidP="00F77C7D">
      <w:pPr>
        <w:spacing w:before="100" w:beforeAutospacing="1" w:after="100" w:afterAutospacing="1" w:line="300" w:lineRule="atLeast"/>
        <w:outlineLvl w:val="1"/>
        <w:rPr>
          <w:rFonts w:ascii="Segoe UI" w:eastAsia="Times New Roman" w:hAnsi="Segoe UI" w:cs="Segoe UI"/>
          <w:b/>
          <w:bCs/>
          <w:sz w:val="36"/>
          <w:szCs w:val="36"/>
        </w:rPr>
      </w:pPr>
      <w:r w:rsidRPr="00F77C7D">
        <w:rPr>
          <w:rFonts w:ascii="Segoe UI" w:eastAsia="Times New Roman" w:hAnsi="Segoe UI" w:cs="Segoe UI"/>
          <w:b/>
          <w:bCs/>
          <w:sz w:val="36"/>
          <w:szCs w:val="36"/>
        </w:rPr>
        <w:t>Assessment Standards, Assessment Appeals, and Digital Signatures</w:t>
      </w:r>
    </w:p>
    <w:p w14:paraId="7103E5D0" w14:textId="77777777" w:rsidR="00F77C7D" w:rsidRPr="00F77C7D" w:rsidRDefault="00F77C7D" w:rsidP="00F77C7D">
      <w:pPr>
        <w:spacing w:before="100" w:beforeAutospacing="1" w:after="100" w:afterAutospacing="1" w:line="300" w:lineRule="atLeast"/>
        <w:rPr>
          <w:rFonts w:ascii="Segoe UI" w:eastAsia="Times New Roman" w:hAnsi="Segoe UI" w:cs="Segoe UI"/>
          <w:sz w:val="21"/>
          <w:szCs w:val="21"/>
        </w:rPr>
      </w:pPr>
      <w:r w:rsidRPr="00F77C7D">
        <w:rPr>
          <w:rFonts w:ascii="Segoe UI" w:eastAsia="Times New Roman" w:hAnsi="Segoe UI" w:cs="Segoe UI"/>
          <w:sz w:val="21"/>
          <w:szCs w:val="21"/>
        </w:rPr>
        <w:t>In 2025, the SBOE initiated a stakeholder work group, led by Member Vasquez, to gather input on assessment standards, improvements to the assessment appeal process, and ongoing delays in appeal resolution. The work group also examined issues surrounding the use and acceptance of digital signatures and the need for greater statewide uniformity.</w:t>
      </w:r>
    </w:p>
    <w:p w14:paraId="3D94508D" w14:textId="77777777" w:rsidR="00F77C7D" w:rsidRPr="00F77C7D" w:rsidRDefault="00F77C7D" w:rsidP="00F77C7D">
      <w:pPr>
        <w:spacing w:before="100" w:beforeAutospacing="1" w:after="100" w:afterAutospacing="1" w:line="300" w:lineRule="atLeast"/>
        <w:rPr>
          <w:rFonts w:ascii="Segoe UI" w:eastAsia="Times New Roman" w:hAnsi="Segoe UI" w:cs="Segoe UI"/>
          <w:sz w:val="21"/>
          <w:szCs w:val="21"/>
        </w:rPr>
      </w:pPr>
      <w:r w:rsidRPr="00F77C7D">
        <w:rPr>
          <w:rFonts w:ascii="Segoe UI" w:eastAsia="Times New Roman" w:hAnsi="Segoe UI" w:cs="Segoe UI"/>
          <w:sz w:val="21"/>
          <w:szCs w:val="21"/>
        </w:rPr>
        <w:lastRenderedPageBreak/>
        <w:t>The SBOE received testimony from representatives of both the public and private sectors regarding opportunities to improve assessment administration, streamline appeal resolutions, and increase overall efficiency. These discussions have also focused on reducing delays in issuing taxpayer refunds resulting from successful appeals.</w:t>
      </w:r>
    </w:p>
    <w:p w14:paraId="7DE311F4" w14:textId="77777777" w:rsidR="00F77C7D" w:rsidRPr="00F77C7D" w:rsidRDefault="00F77C7D" w:rsidP="00F77C7D">
      <w:pPr>
        <w:spacing w:before="100" w:beforeAutospacing="1" w:after="100" w:afterAutospacing="1" w:line="300" w:lineRule="atLeast"/>
        <w:rPr>
          <w:rFonts w:ascii="Segoe UI" w:eastAsia="Times New Roman" w:hAnsi="Segoe UI" w:cs="Segoe UI"/>
          <w:sz w:val="21"/>
          <w:szCs w:val="21"/>
        </w:rPr>
      </w:pPr>
      <w:r w:rsidRPr="00F77C7D">
        <w:rPr>
          <w:rFonts w:ascii="Segoe UI" w:eastAsia="Times New Roman" w:hAnsi="Segoe UI" w:cs="Segoe UI"/>
          <w:sz w:val="21"/>
          <w:szCs w:val="21"/>
        </w:rPr>
        <w:t>The work group continues its efforts in 2026, and we anticipate additional hearings that will result in recommendations for updating and improving these processes.</w:t>
      </w:r>
    </w:p>
    <w:p w14:paraId="0B34AA97" w14:textId="77777777" w:rsidR="00F77C7D" w:rsidRPr="00F77C7D" w:rsidRDefault="00D749A4" w:rsidP="00F77C7D">
      <w:pPr>
        <w:spacing w:line="300" w:lineRule="atLeast"/>
        <w:rPr>
          <w:rFonts w:ascii="Segoe UI" w:eastAsia="Times New Roman" w:hAnsi="Segoe UI" w:cs="Segoe UI"/>
          <w:sz w:val="21"/>
          <w:szCs w:val="21"/>
        </w:rPr>
      </w:pPr>
      <w:r>
        <w:rPr>
          <w:rFonts w:ascii="Segoe UI" w:eastAsia="Times New Roman" w:hAnsi="Segoe UI" w:cs="Segoe UI"/>
          <w:sz w:val="21"/>
          <w:szCs w:val="21"/>
        </w:rPr>
        <w:pict w14:anchorId="30D8EA2A">
          <v:rect id="_x0000_i1027" style="width:0;height:1.5pt" o:hralign="center" o:hrstd="t" o:hr="t" fillcolor="#a0a0a0" stroked="f"/>
        </w:pict>
      </w:r>
    </w:p>
    <w:p w14:paraId="7E811A86" w14:textId="77777777" w:rsidR="00F77C7D" w:rsidRPr="00F77C7D" w:rsidRDefault="00F77C7D" w:rsidP="00F77C7D">
      <w:pPr>
        <w:spacing w:before="100" w:beforeAutospacing="1" w:after="100" w:afterAutospacing="1" w:line="300" w:lineRule="atLeast"/>
        <w:outlineLvl w:val="1"/>
        <w:rPr>
          <w:rFonts w:ascii="Segoe UI" w:eastAsia="Times New Roman" w:hAnsi="Segoe UI" w:cs="Segoe UI"/>
          <w:b/>
          <w:bCs/>
          <w:sz w:val="36"/>
          <w:szCs w:val="36"/>
        </w:rPr>
      </w:pPr>
      <w:r w:rsidRPr="00F77C7D">
        <w:rPr>
          <w:rFonts w:ascii="Segoe UI" w:eastAsia="Times New Roman" w:hAnsi="Segoe UI" w:cs="Segoe UI"/>
          <w:b/>
          <w:bCs/>
          <w:sz w:val="36"/>
          <w:szCs w:val="36"/>
        </w:rPr>
        <w:t>Intangible Assets and Proposed Updates to Assessor's Handbook Section 502</w:t>
      </w:r>
    </w:p>
    <w:p w14:paraId="39E3854F" w14:textId="77777777" w:rsidR="00F77C7D" w:rsidRPr="00F77C7D" w:rsidRDefault="00F77C7D" w:rsidP="00F77C7D">
      <w:pPr>
        <w:spacing w:before="100" w:beforeAutospacing="1" w:after="100" w:afterAutospacing="1" w:line="300" w:lineRule="atLeast"/>
        <w:rPr>
          <w:rFonts w:ascii="Segoe UI" w:eastAsia="Times New Roman" w:hAnsi="Segoe UI" w:cs="Segoe UI"/>
          <w:sz w:val="21"/>
          <w:szCs w:val="21"/>
        </w:rPr>
      </w:pPr>
      <w:r w:rsidRPr="00F77C7D">
        <w:rPr>
          <w:rFonts w:ascii="Segoe UI" w:eastAsia="Times New Roman" w:hAnsi="Segoe UI" w:cs="Segoe UI"/>
          <w:sz w:val="21"/>
          <w:szCs w:val="21"/>
        </w:rPr>
        <w:t xml:space="preserve">On June 25, 2026, the State Board of Equalization held its first public hearing in more than 30 years dedicated specifically to the treatment of intangible assets and their recognition, valuation, and exclusion from taxable property values. Participants included representatives from the California Assessors' Association, SBOE legal staff, </w:t>
      </w:r>
      <w:proofErr w:type="spellStart"/>
      <w:r w:rsidRPr="00F77C7D">
        <w:rPr>
          <w:rFonts w:ascii="Segoe UI" w:eastAsia="Times New Roman" w:hAnsi="Segoe UI" w:cs="Segoe UI"/>
          <w:sz w:val="21"/>
          <w:szCs w:val="21"/>
        </w:rPr>
        <w:t>CalTax</w:t>
      </w:r>
      <w:proofErr w:type="spellEnd"/>
      <w:r w:rsidRPr="00F77C7D">
        <w:rPr>
          <w:rFonts w:ascii="Segoe UI" w:eastAsia="Times New Roman" w:hAnsi="Segoe UI" w:cs="Segoe UI"/>
          <w:sz w:val="21"/>
          <w:szCs w:val="21"/>
        </w:rPr>
        <w:t>, CATA, and numerous subject matter experts. While many attended remotely, several members of CATA's team participated in person.</w:t>
      </w:r>
    </w:p>
    <w:p w14:paraId="687E00A3" w14:textId="77777777" w:rsidR="00F77C7D" w:rsidRPr="00F77C7D" w:rsidRDefault="00F77C7D" w:rsidP="00F77C7D">
      <w:pPr>
        <w:spacing w:before="100" w:beforeAutospacing="1" w:after="100" w:afterAutospacing="1" w:line="300" w:lineRule="atLeast"/>
        <w:rPr>
          <w:rFonts w:ascii="Segoe UI" w:eastAsia="Times New Roman" w:hAnsi="Segoe UI" w:cs="Segoe UI"/>
          <w:sz w:val="21"/>
          <w:szCs w:val="21"/>
        </w:rPr>
      </w:pPr>
      <w:r w:rsidRPr="00F77C7D">
        <w:rPr>
          <w:rFonts w:ascii="Segoe UI" w:eastAsia="Times New Roman" w:hAnsi="Segoe UI" w:cs="Segoe UI"/>
          <w:sz w:val="21"/>
          <w:szCs w:val="21"/>
        </w:rPr>
        <w:t>For nearly a century, the California Constitution has prohibited the taxation of intangible assets. Despite this longstanding constitutional mandate, inconsistencies continue to exist in how assessors recognize and exclude intangible assets from taxable property values. Over the decades, statutes and case law have further clarified these requirements, yet implementation remains uneven throughout the state.</w:t>
      </w:r>
    </w:p>
    <w:p w14:paraId="44EB5E5B" w14:textId="77777777" w:rsidR="00F77C7D" w:rsidRPr="00F77C7D" w:rsidRDefault="00F77C7D" w:rsidP="00F77C7D">
      <w:pPr>
        <w:spacing w:before="100" w:beforeAutospacing="1" w:after="100" w:afterAutospacing="1" w:line="300" w:lineRule="atLeast"/>
        <w:rPr>
          <w:rFonts w:ascii="Segoe UI" w:eastAsia="Times New Roman" w:hAnsi="Segoe UI" w:cs="Segoe UI"/>
          <w:sz w:val="21"/>
          <w:szCs w:val="21"/>
        </w:rPr>
      </w:pPr>
      <w:r w:rsidRPr="00F77C7D">
        <w:rPr>
          <w:rFonts w:ascii="Segoe UI" w:eastAsia="Times New Roman" w:hAnsi="Segoe UI" w:cs="Segoe UI"/>
          <w:sz w:val="21"/>
          <w:szCs w:val="21"/>
        </w:rPr>
        <w:t>CATA participated in the hearing to represent taxpayers and practitioners who regularly encounter these inconsistencies. Our presentation addressed:</w:t>
      </w:r>
    </w:p>
    <w:p w14:paraId="148FAD8A" w14:textId="77777777" w:rsidR="00F77C7D" w:rsidRPr="00F77C7D" w:rsidRDefault="00F77C7D" w:rsidP="00F77C7D">
      <w:pPr>
        <w:numPr>
          <w:ilvl w:val="0"/>
          <w:numId w:val="13"/>
        </w:numPr>
        <w:spacing w:before="100" w:beforeAutospacing="1" w:after="100" w:afterAutospacing="1" w:line="300" w:lineRule="atLeast"/>
        <w:rPr>
          <w:rFonts w:ascii="Segoe UI" w:eastAsia="Times New Roman" w:hAnsi="Segoe UI" w:cs="Segoe UI"/>
          <w:sz w:val="21"/>
          <w:szCs w:val="21"/>
        </w:rPr>
      </w:pPr>
      <w:r w:rsidRPr="00F77C7D">
        <w:rPr>
          <w:rFonts w:ascii="Segoe UI" w:eastAsia="Times New Roman" w:hAnsi="Segoe UI" w:cs="Segoe UI"/>
          <w:sz w:val="21"/>
          <w:szCs w:val="21"/>
        </w:rPr>
        <w:t>Relevant constitutional provisions and case law</w:t>
      </w:r>
    </w:p>
    <w:p w14:paraId="670150DC" w14:textId="77777777" w:rsidR="00F77C7D" w:rsidRPr="00F77C7D" w:rsidRDefault="00F77C7D" w:rsidP="00F77C7D">
      <w:pPr>
        <w:numPr>
          <w:ilvl w:val="0"/>
          <w:numId w:val="13"/>
        </w:numPr>
        <w:spacing w:before="100" w:beforeAutospacing="1" w:after="100" w:afterAutospacing="1" w:line="300" w:lineRule="atLeast"/>
        <w:rPr>
          <w:rFonts w:ascii="Segoe UI" w:eastAsia="Times New Roman" w:hAnsi="Segoe UI" w:cs="Segoe UI"/>
          <w:sz w:val="21"/>
          <w:szCs w:val="21"/>
        </w:rPr>
      </w:pPr>
      <w:r w:rsidRPr="00F77C7D">
        <w:rPr>
          <w:rFonts w:ascii="Segoe UI" w:eastAsia="Times New Roman" w:hAnsi="Segoe UI" w:cs="Segoe UI"/>
          <w:sz w:val="21"/>
          <w:szCs w:val="21"/>
        </w:rPr>
        <w:t xml:space="preserve">Accepted valuation </w:t>
      </w:r>
      <w:proofErr w:type="gramStart"/>
      <w:r w:rsidRPr="00F77C7D">
        <w:rPr>
          <w:rFonts w:ascii="Segoe UI" w:eastAsia="Times New Roman" w:hAnsi="Segoe UI" w:cs="Segoe UI"/>
          <w:sz w:val="21"/>
          <w:szCs w:val="21"/>
        </w:rPr>
        <w:t>methodologies</w:t>
      </w:r>
      <w:proofErr w:type="gramEnd"/>
    </w:p>
    <w:p w14:paraId="3887FDEF" w14:textId="77777777" w:rsidR="00F77C7D" w:rsidRPr="00F77C7D" w:rsidRDefault="00F77C7D" w:rsidP="00F77C7D">
      <w:pPr>
        <w:numPr>
          <w:ilvl w:val="0"/>
          <w:numId w:val="13"/>
        </w:numPr>
        <w:spacing w:before="100" w:beforeAutospacing="1" w:after="100" w:afterAutospacing="1" w:line="300" w:lineRule="atLeast"/>
        <w:rPr>
          <w:rFonts w:ascii="Segoe UI" w:eastAsia="Times New Roman" w:hAnsi="Segoe UI" w:cs="Segoe UI"/>
          <w:sz w:val="21"/>
          <w:szCs w:val="21"/>
        </w:rPr>
      </w:pPr>
      <w:r w:rsidRPr="00F77C7D">
        <w:rPr>
          <w:rFonts w:ascii="Segoe UI" w:eastAsia="Times New Roman" w:hAnsi="Segoe UI" w:cs="Segoe UI"/>
          <w:sz w:val="21"/>
          <w:szCs w:val="21"/>
        </w:rPr>
        <w:t xml:space="preserve">Practical challenges faced by taxpayers and </w:t>
      </w:r>
      <w:proofErr w:type="gramStart"/>
      <w:r w:rsidRPr="00F77C7D">
        <w:rPr>
          <w:rFonts w:ascii="Segoe UI" w:eastAsia="Times New Roman" w:hAnsi="Segoe UI" w:cs="Segoe UI"/>
          <w:sz w:val="21"/>
          <w:szCs w:val="21"/>
        </w:rPr>
        <w:t>practitioners</w:t>
      </w:r>
      <w:proofErr w:type="gramEnd"/>
    </w:p>
    <w:p w14:paraId="542596E2" w14:textId="77777777" w:rsidR="00F77C7D" w:rsidRPr="00F77C7D" w:rsidRDefault="00F77C7D" w:rsidP="00F77C7D">
      <w:pPr>
        <w:numPr>
          <w:ilvl w:val="0"/>
          <w:numId w:val="13"/>
        </w:numPr>
        <w:spacing w:before="100" w:beforeAutospacing="1" w:after="100" w:afterAutospacing="1" w:line="300" w:lineRule="atLeast"/>
        <w:rPr>
          <w:rFonts w:ascii="Segoe UI" w:eastAsia="Times New Roman" w:hAnsi="Segoe UI" w:cs="Segoe UI"/>
          <w:sz w:val="21"/>
          <w:szCs w:val="21"/>
        </w:rPr>
      </w:pPr>
      <w:r w:rsidRPr="00F77C7D">
        <w:rPr>
          <w:rFonts w:ascii="Segoe UI" w:eastAsia="Times New Roman" w:hAnsi="Segoe UI" w:cs="Segoe UI"/>
          <w:sz w:val="21"/>
          <w:szCs w:val="21"/>
        </w:rPr>
        <w:t xml:space="preserve">Opportunities to improve transparency, accountability, and compliance among </w:t>
      </w:r>
      <w:proofErr w:type="gramStart"/>
      <w:r w:rsidRPr="00F77C7D">
        <w:rPr>
          <w:rFonts w:ascii="Segoe UI" w:eastAsia="Times New Roman" w:hAnsi="Segoe UI" w:cs="Segoe UI"/>
          <w:sz w:val="21"/>
          <w:szCs w:val="21"/>
        </w:rPr>
        <w:t>county</w:t>
      </w:r>
      <w:proofErr w:type="gramEnd"/>
      <w:r w:rsidRPr="00F77C7D">
        <w:rPr>
          <w:rFonts w:ascii="Segoe UI" w:eastAsia="Times New Roman" w:hAnsi="Segoe UI" w:cs="Segoe UI"/>
          <w:sz w:val="21"/>
          <w:szCs w:val="21"/>
        </w:rPr>
        <w:t xml:space="preserve"> assessors</w:t>
      </w:r>
    </w:p>
    <w:p w14:paraId="411A4CDE" w14:textId="77777777" w:rsidR="00F77C7D" w:rsidRPr="00F77C7D" w:rsidRDefault="00F77C7D" w:rsidP="00F77C7D">
      <w:pPr>
        <w:spacing w:before="100" w:beforeAutospacing="1" w:after="100" w:afterAutospacing="1" w:line="300" w:lineRule="atLeast"/>
        <w:rPr>
          <w:rFonts w:ascii="Segoe UI" w:eastAsia="Times New Roman" w:hAnsi="Segoe UI" w:cs="Segoe UI"/>
          <w:sz w:val="21"/>
          <w:szCs w:val="21"/>
        </w:rPr>
      </w:pPr>
      <w:r w:rsidRPr="00F77C7D">
        <w:rPr>
          <w:rFonts w:ascii="Segoe UI" w:eastAsia="Times New Roman" w:hAnsi="Segoe UI" w:cs="Segoe UI"/>
          <w:sz w:val="21"/>
          <w:szCs w:val="21"/>
        </w:rPr>
        <w:t>One recurring concern highlighted during the hearing was the limited familiarity many Assessment Appeals Board members have with the treatment of intangible assets. This knowledge gap often contributes to inconsistent outcomes and unnecessary disputes.</w:t>
      </w:r>
    </w:p>
    <w:p w14:paraId="2903C8A7" w14:textId="77777777" w:rsidR="00F77C7D" w:rsidRPr="00F77C7D" w:rsidRDefault="00F77C7D" w:rsidP="00F77C7D">
      <w:pPr>
        <w:spacing w:before="100" w:beforeAutospacing="1" w:after="100" w:afterAutospacing="1" w:line="300" w:lineRule="atLeast"/>
        <w:rPr>
          <w:rFonts w:ascii="Segoe UI" w:eastAsia="Times New Roman" w:hAnsi="Segoe UI" w:cs="Segoe UI"/>
          <w:sz w:val="21"/>
          <w:szCs w:val="21"/>
        </w:rPr>
      </w:pPr>
      <w:r w:rsidRPr="00F77C7D">
        <w:rPr>
          <w:rFonts w:ascii="Segoe UI" w:eastAsia="Times New Roman" w:hAnsi="Segoe UI" w:cs="Segoe UI"/>
          <w:sz w:val="21"/>
          <w:szCs w:val="21"/>
        </w:rPr>
        <w:t>CATA emphasized that many valuation issues could be reduced if assessors received more complete and relevant information before making assessment determinations. To that end, CATA recommended revisions to several key documents and statutes, including:</w:t>
      </w:r>
    </w:p>
    <w:p w14:paraId="113566A5" w14:textId="77777777" w:rsidR="00F77C7D" w:rsidRPr="00F77C7D" w:rsidRDefault="00F77C7D" w:rsidP="00F77C7D">
      <w:pPr>
        <w:numPr>
          <w:ilvl w:val="0"/>
          <w:numId w:val="14"/>
        </w:numPr>
        <w:spacing w:before="100" w:beforeAutospacing="1" w:after="100" w:afterAutospacing="1" w:line="300" w:lineRule="atLeast"/>
        <w:rPr>
          <w:rFonts w:ascii="Segoe UI" w:eastAsia="Times New Roman" w:hAnsi="Segoe UI" w:cs="Segoe UI"/>
          <w:sz w:val="21"/>
          <w:szCs w:val="21"/>
        </w:rPr>
      </w:pPr>
      <w:r w:rsidRPr="00F77C7D">
        <w:rPr>
          <w:rFonts w:ascii="Segoe UI" w:eastAsia="Times New Roman" w:hAnsi="Segoe UI" w:cs="Segoe UI"/>
          <w:sz w:val="21"/>
          <w:szCs w:val="21"/>
        </w:rPr>
        <w:lastRenderedPageBreak/>
        <w:t>Preliminary Change of Ownership Reports</w:t>
      </w:r>
    </w:p>
    <w:p w14:paraId="48AF6F5A" w14:textId="77777777" w:rsidR="00F77C7D" w:rsidRPr="00F77C7D" w:rsidRDefault="00F77C7D" w:rsidP="00F77C7D">
      <w:pPr>
        <w:numPr>
          <w:ilvl w:val="0"/>
          <w:numId w:val="14"/>
        </w:numPr>
        <w:spacing w:before="100" w:beforeAutospacing="1" w:after="100" w:afterAutospacing="1" w:line="300" w:lineRule="atLeast"/>
        <w:rPr>
          <w:rFonts w:ascii="Segoe UI" w:eastAsia="Times New Roman" w:hAnsi="Segoe UI" w:cs="Segoe UI"/>
          <w:sz w:val="21"/>
          <w:szCs w:val="21"/>
        </w:rPr>
      </w:pPr>
      <w:r w:rsidRPr="00F77C7D">
        <w:rPr>
          <w:rFonts w:ascii="Segoe UI" w:eastAsia="Times New Roman" w:hAnsi="Segoe UI" w:cs="Segoe UI"/>
          <w:sz w:val="21"/>
          <w:szCs w:val="21"/>
        </w:rPr>
        <w:t>Change in Ownership Statements</w:t>
      </w:r>
    </w:p>
    <w:p w14:paraId="0D4FBE5E" w14:textId="77777777" w:rsidR="00F77C7D" w:rsidRPr="00F77C7D" w:rsidRDefault="00F77C7D" w:rsidP="00F77C7D">
      <w:pPr>
        <w:numPr>
          <w:ilvl w:val="0"/>
          <w:numId w:val="14"/>
        </w:numPr>
        <w:spacing w:before="100" w:beforeAutospacing="1" w:after="100" w:afterAutospacing="1" w:line="300" w:lineRule="atLeast"/>
        <w:rPr>
          <w:rFonts w:ascii="Segoe UI" w:eastAsia="Times New Roman" w:hAnsi="Segoe UI" w:cs="Segoe UI"/>
          <w:sz w:val="21"/>
          <w:szCs w:val="21"/>
        </w:rPr>
      </w:pPr>
      <w:r w:rsidRPr="00F77C7D">
        <w:rPr>
          <w:rFonts w:ascii="Segoe UI" w:eastAsia="Times New Roman" w:hAnsi="Segoe UI" w:cs="Segoe UI"/>
          <w:sz w:val="21"/>
          <w:szCs w:val="21"/>
        </w:rPr>
        <w:t>Revenue and Taxation Code Section 441(d)</w:t>
      </w:r>
    </w:p>
    <w:p w14:paraId="4746DA7D" w14:textId="77777777" w:rsidR="00F77C7D" w:rsidRPr="00F77C7D" w:rsidRDefault="00F77C7D" w:rsidP="00F77C7D">
      <w:pPr>
        <w:spacing w:before="100" w:beforeAutospacing="1" w:after="100" w:afterAutospacing="1" w:line="300" w:lineRule="atLeast"/>
        <w:rPr>
          <w:rFonts w:ascii="Segoe UI" w:eastAsia="Times New Roman" w:hAnsi="Segoe UI" w:cs="Segoe UI"/>
          <w:sz w:val="21"/>
          <w:szCs w:val="21"/>
        </w:rPr>
      </w:pPr>
      <w:r w:rsidRPr="00F77C7D">
        <w:rPr>
          <w:rFonts w:ascii="Segoe UI" w:eastAsia="Times New Roman" w:hAnsi="Segoe UI" w:cs="Segoe UI"/>
          <w:sz w:val="21"/>
          <w:szCs w:val="21"/>
        </w:rPr>
        <w:t>These revisions would allow taxpayers to provide information regarding intangible assets, allocations of nontaxable property components, and other relevant valuation factors at the outset of the assessment process.</w:t>
      </w:r>
    </w:p>
    <w:p w14:paraId="0438CC0C" w14:textId="77777777" w:rsidR="00F77C7D" w:rsidRPr="00F77C7D" w:rsidRDefault="00F77C7D" w:rsidP="00F77C7D">
      <w:pPr>
        <w:spacing w:before="100" w:beforeAutospacing="1" w:after="100" w:afterAutospacing="1" w:line="300" w:lineRule="atLeast"/>
        <w:rPr>
          <w:rFonts w:ascii="Segoe UI" w:eastAsia="Times New Roman" w:hAnsi="Segoe UI" w:cs="Segoe UI"/>
          <w:sz w:val="21"/>
          <w:szCs w:val="21"/>
        </w:rPr>
      </w:pPr>
      <w:r w:rsidRPr="00F77C7D">
        <w:rPr>
          <w:rFonts w:ascii="Segoe UI" w:eastAsia="Times New Roman" w:hAnsi="Segoe UI" w:cs="Segoe UI"/>
          <w:sz w:val="21"/>
          <w:szCs w:val="21"/>
        </w:rPr>
        <w:t>Currently, these forms provide little or no opportunity for taxpayers to disclose information concerning intangible assets or other nontaxable elements that should be considered when determining taxable value. Based on the experience of practitioners, more accurate and equitable assessments are achieved when this information is reviewed during the initial assessment phase rather than addressed later through appeals or litigation.</w:t>
      </w:r>
    </w:p>
    <w:p w14:paraId="11F8ABA6" w14:textId="77777777" w:rsidR="00F77C7D" w:rsidRPr="00F77C7D" w:rsidRDefault="00F77C7D" w:rsidP="00F77C7D">
      <w:pPr>
        <w:spacing w:before="100" w:beforeAutospacing="1" w:after="100" w:afterAutospacing="1" w:line="300" w:lineRule="atLeast"/>
        <w:rPr>
          <w:rFonts w:ascii="Segoe UI" w:eastAsia="Times New Roman" w:hAnsi="Segoe UI" w:cs="Segoe UI"/>
          <w:sz w:val="21"/>
          <w:szCs w:val="21"/>
        </w:rPr>
      </w:pPr>
      <w:r w:rsidRPr="00F77C7D">
        <w:rPr>
          <w:rFonts w:ascii="Segoe UI" w:eastAsia="Times New Roman" w:hAnsi="Segoe UI" w:cs="Segoe UI"/>
          <w:sz w:val="21"/>
          <w:szCs w:val="21"/>
        </w:rPr>
        <w:t>While early disclosure would not eliminate all valuation disputes, it would establish a more effective framework for identifying and addressing intangible asset issues before assessments are finalized.</w:t>
      </w:r>
    </w:p>
    <w:p w14:paraId="0BDDB721" w14:textId="77777777" w:rsidR="00F77C7D" w:rsidRPr="00F77C7D" w:rsidRDefault="00F77C7D" w:rsidP="00F77C7D">
      <w:pPr>
        <w:spacing w:before="100" w:beforeAutospacing="1" w:after="100" w:afterAutospacing="1" w:line="300" w:lineRule="atLeast"/>
        <w:rPr>
          <w:rFonts w:ascii="Segoe UI" w:eastAsia="Times New Roman" w:hAnsi="Segoe UI" w:cs="Segoe UI"/>
          <w:sz w:val="21"/>
          <w:szCs w:val="21"/>
        </w:rPr>
      </w:pPr>
      <w:r w:rsidRPr="00F77C7D">
        <w:rPr>
          <w:rFonts w:ascii="Segoe UI" w:eastAsia="Times New Roman" w:hAnsi="Segoe UI" w:cs="Segoe UI"/>
          <w:sz w:val="21"/>
          <w:szCs w:val="21"/>
        </w:rPr>
        <w:t>In addition to CATA's presentation, numerous industry experts provided testimony regarding applicable case law, valuation methodologies, and the treatment of intangible assets across a wide range of property types. SBOE members expressed appreciation for the input provided by stakeholders and indicated that the information presented will be considered as they develop updated guidance on intangible asset valuation and treatment.</w:t>
      </w:r>
    </w:p>
    <w:p w14:paraId="53C72CD4" w14:textId="77777777" w:rsidR="00F77C7D" w:rsidRPr="00F77C7D" w:rsidRDefault="00F77C7D" w:rsidP="00F77C7D">
      <w:pPr>
        <w:spacing w:before="100" w:beforeAutospacing="1" w:after="100" w:afterAutospacing="1" w:line="300" w:lineRule="atLeast"/>
        <w:rPr>
          <w:rFonts w:ascii="Segoe UI" w:eastAsia="Times New Roman" w:hAnsi="Segoe UI" w:cs="Segoe UI"/>
          <w:sz w:val="21"/>
          <w:szCs w:val="21"/>
        </w:rPr>
      </w:pPr>
      <w:r w:rsidRPr="00F77C7D">
        <w:rPr>
          <w:rFonts w:ascii="Segoe UI" w:eastAsia="Times New Roman" w:hAnsi="Segoe UI" w:cs="Segoe UI"/>
          <w:sz w:val="21"/>
          <w:szCs w:val="21"/>
        </w:rPr>
        <w:t>A follow-up hearing is tentatively anticipated this fall, although a specific date has not yet been announced.</w:t>
      </w:r>
    </w:p>
    <w:p w14:paraId="1B0F9191" w14:textId="77777777" w:rsidR="00F77C7D" w:rsidRPr="00F77C7D" w:rsidRDefault="00D749A4" w:rsidP="00F77C7D">
      <w:pPr>
        <w:spacing w:line="300" w:lineRule="atLeast"/>
        <w:rPr>
          <w:rFonts w:ascii="Segoe UI" w:eastAsia="Times New Roman" w:hAnsi="Segoe UI" w:cs="Segoe UI"/>
          <w:sz w:val="21"/>
          <w:szCs w:val="21"/>
        </w:rPr>
      </w:pPr>
      <w:r>
        <w:rPr>
          <w:rFonts w:ascii="Segoe UI" w:eastAsia="Times New Roman" w:hAnsi="Segoe UI" w:cs="Segoe UI"/>
          <w:sz w:val="21"/>
          <w:szCs w:val="21"/>
        </w:rPr>
        <w:pict w14:anchorId="0C9C272D">
          <v:rect id="_x0000_i1028" style="width:0;height:1.5pt" o:hralign="center" o:hrstd="t" o:hr="t" fillcolor="#a0a0a0" stroked="f"/>
        </w:pict>
      </w:r>
    </w:p>
    <w:p w14:paraId="3F502544" w14:textId="77777777" w:rsidR="00F77C7D" w:rsidRPr="00F77C7D" w:rsidRDefault="00F77C7D" w:rsidP="00F77C7D">
      <w:pPr>
        <w:spacing w:before="100" w:beforeAutospacing="1" w:after="100" w:afterAutospacing="1" w:line="300" w:lineRule="atLeast"/>
        <w:outlineLvl w:val="1"/>
        <w:rPr>
          <w:rFonts w:ascii="Segoe UI" w:eastAsia="Times New Roman" w:hAnsi="Segoe UI" w:cs="Segoe UI"/>
          <w:b/>
          <w:bCs/>
          <w:sz w:val="36"/>
          <w:szCs w:val="36"/>
        </w:rPr>
      </w:pPr>
      <w:r w:rsidRPr="00F77C7D">
        <w:rPr>
          <w:rFonts w:ascii="Segoe UI" w:eastAsia="Times New Roman" w:hAnsi="Segoe UI" w:cs="Segoe UI"/>
          <w:b/>
          <w:bCs/>
          <w:sz w:val="36"/>
          <w:szCs w:val="36"/>
        </w:rPr>
        <w:t>Looking Ahead: Second Half of 2026</w:t>
      </w:r>
    </w:p>
    <w:p w14:paraId="00B28763" w14:textId="77777777" w:rsidR="00F77C7D" w:rsidRPr="00F77C7D" w:rsidRDefault="00F77C7D" w:rsidP="00F77C7D">
      <w:pPr>
        <w:spacing w:before="100" w:beforeAutospacing="1" w:after="100" w:afterAutospacing="1" w:line="300" w:lineRule="atLeast"/>
        <w:rPr>
          <w:rFonts w:ascii="Segoe UI" w:eastAsia="Times New Roman" w:hAnsi="Segoe UI" w:cs="Segoe UI"/>
          <w:sz w:val="21"/>
          <w:szCs w:val="21"/>
        </w:rPr>
      </w:pPr>
      <w:r w:rsidRPr="00F77C7D">
        <w:rPr>
          <w:rFonts w:ascii="Segoe UI" w:eastAsia="Times New Roman" w:hAnsi="Segoe UI" w:cs="Segoe UI"/>
          <w:sz w:val="21"/>
          <w:szCs w:val="21"/>
        </w:rPr>
        <w:t>CATA's Board of Directors and committee members remain actively engaged in efforts to improve assessment administration, address appeal delays, promote timely refund processing, and establish consistent statewide standards for digital signatures.</w:t>
      </w:r>
    </w:p>
    <w:p w14:paraId="5C0080BC" w14:textId="77777777" w:rsidR="00F77C7D" w:rsidRPr="00F77C7D" w:rsidRDefault="00F77C7D" w:rsidP="00F77C7D">
      <w:pPr>
        <w:spacing w:before="100" w:beforeAutospacing="1" w:after="100" w:afterAutospacing="1" w:line="300" w:lineRule="atLeast"/>
        <w:rPr>
          <w:rFonts w:ascii="Segoe UI" w:eastAsia="Times New Roman" w:hAnsi="Segoe UI" w:cs="Segoe UI"/>
          <w:sz w:val="21"/>
          <w:szCs w:val="21"/>
        </w:rPr>
      </w:pPr>
      <w:r w:rsidRPr="00F77C7D">
        <w:rPr>
          <w:rFonts w:ascii="Segoe UI" w:eastAsia="Times New Roman" w:hAnsi="Segoe UI" w:cs="Segoe UI"/>
          <w:sz w:val="21"/>
          <w:szCs w:val="21"/>
        </w:rPr>
        <w:t>Most importantly, we are continuing to work closely with the SBOE on proposed updates to Assessor's Handbook Section 502, particularly regarding the recognition and treatment of intangible assets.</w:t>
      </w:r>
    </w:p>
    <w:p w14:paraId="1A5786BD" w14:textId="77777777" w:rsidR="00F77C7D" w:rsidRPr="00F77C7D" w:rsidRDefault="00F77C7D" w:rsidP="00F77C7D">
      <w:pPr>
        <w:spacing w:before="100" w:beforeAutospacing="1" w:after="100" w:afterAutospacing="1" w:line="300" w:lineRule="atLeast"/>
        <w:rPr>
          <w:rFonts w:ascii="Segoe UI" w:eastAsia="Times New Roman" w:hAnsi="Segoe UI" w:cs="Segoe UI"/>
          <w:sz w:val="21"/>
          <w:szCs w:val="21"/>
        </w:rPr>
      </w:pPr>
      <w:r w:rsidRPr="00F77C7D">
        <w:rPr>
          <w:rFonts w:ascii="Segoe UI" w:eastAsia="Times New Roman" w:hAnsi="Segoe UI" w:cs="Segoe UI"/>
          <w:sz w:val="21"/>
          <w:szCs w:val="21"/>
        </w:rPr>
        <w:t>Your membership and support are essential to ensuring that CATA maintains a strong and effective presence in legislative, regulatory, and administrative discussions affecting California taxpayers. Our ability to advocate for fairness, transparency, and equitable taxation depends on the continued involvement of taxpayers, practitioners, and industry stakeholders.</w:t>
      </w:r>
    </w:p>
    <w:p w14:paraId="2AD8C8D1" w14:textId="77777777" w:rsidR="00F77C7D" w:rsidRPr="00F77C7D" w:rsidRDefault="00F77C7D" w:rsidP="00F77C7D">
      <w:pPr>
        <w:spacing w:before="100" w:beforeAutospacing="1" w:after="100" w:afterAutospacing="1" w:line="300" w:lineRule="atLeast"/>
        <w:rPr>
          <w:rFonts w:ascii="Segoe UI" w:eastAsia="Times New Roman" w:hAnsi="Segoe UI" w:cs="Segoe UI"/>
          <w:sz w:val="21"/>
          <w:szCs w:val="21"/>
        </w:rPr>
      </w:pPr>
      <w:r w:rsidRPr="00F77C7D">
        <w:rPr>
          <w:rFonts w:ascii="Segoe UI" w:eastAsia="Times New Roman" w:hAnsi="Segoe UI" w:cs="Segoe UI"/>
          <w:sz w:val="21"/>
          <w:szCs w:val="21"/>
        </w:rPr>
        <w:lastRenderedPageBreak/>
        <w:t>We encourage anyone interested in California state and local tax issues to become a member of CATA or support our advocacy efforts through a contribution. A strong and unified voice is critical to advancing meaningful reform and protecting taxpayer rights at every level of government.</w:t>
      </w:r>
    </w:p>
    <w:p w14:paraId="599CD0B1" w14:textId="77777777" w:rsidR="00F77C7D" w:rsidRPr="00F77C7D" w:rsidRDefault="00F77C7D" w:rsidP="00F77C7D">
      <w:pPr>
        <w:spacing w:before="100" w:beforeAutospacing="1" w:after="100" w:afterAutospacing="1" w:line="300" w:lineRule="atLeast"/>
        <w:outlineLvl w:val="1"/>
        <w:rPr>
          <w:rFonts w:ascii="Segoe UI" w:eastAsia="Times New Roman" w:hAnsi="Segoe UI" w:cs="Segoe UI"/>
          <w:b/>
          <w:bCs/>
          <w:sz w:val="36"/>
          <w:szCs w:val="36"/>
        </w:rPr>
      </w:pPr>
      <w:r w:rsidRPr="00F77C7D">
        <w:rPr>
          <w:rFonts w:ascii="Segoe UI" w:eastAsia="Times New Roman" w:hAnsi="Segoe UI" w:cs="Segoe UI"/>
          <w:b/>
          <w:bCs/>
          <w:sz w:val="36"/>
          <w:szCs w:val="36"/>
        </w:rPr>
        <w:t>We Need Your Support</w:t>
      </w:r>
    </w:p>
    <w:p w14:paraId="6FFEFD2D" w14:textId="77777777" w:rsidR="00F77C7D" w:rsidRPr="00F77C7D" w:rsidRDefault="00F77C7D" w:rsidP="00F77C7D">
      <w:pPr>
        <w:spacing w:before="100" w:beforeAutospacing="1" w:after="100" w:afterAutospacing="1" w:line="300" w:lineRule="atLeast"/>
        <w:rPr>
          <w:rFonts w:ascii="Segoe UI" w:eastAsia="Times New Roman" w:hAnsi="Segoe UI" w:cs="Segoe UI"/>
          <w:sz w:val="21"/>
          <w:szCs w:val="21"/>
        </w:rPr>
      </w:pPr>
      <w:r w:rsidRPr="00F77C7D">
        <w:rPr>
          <w:rFonts w:ascii="Segoe UI" w:eastAsia="Times New Roman" w:hAnsi="Segoe UI" w:cs="Segoe UI"/>
          <w:sz w:val="21"/>
          <w:szCs w:val="21"/>
        </w:rPr>
        <w:t>We remain optimistic that meaningful change is achievable. Progress takes time, but we are committed to pursuing reforms that improve fairness, consistency, and transparency throughout California's property tax system.</w:t>
      </w:r>
    </w:p>
    <w:p w14:paraId="24439040" w14:textId="77777777" w:rsidR="00F77C7D" w:rsidRPr="00F77C7D" w:rsidRDefault="00F77C7D" w:rsidP="00F77C7D">
      <w:pPr>
        <w:spacing w:before="100" w:beforeAutospacing="1" w:after="100" w:afterAutospacing="1" w:line="300" w:lineRule="atLeast"/>
        <w:rPr>
          <w:rFonts w:ascii="Segoe UI" w:eastAsia="Times New Roman" w:hAnsi="Segoe UI" w:cs="Segoe UI"/>
          <w:sz w:val="21"/>
          <w:szCs w:val="21"/>
        </w:rPr>
      </w:pPr>
      <w:r w:rsidRPr="00F77C7D">
        <w:rPr>
          <w:rFonts w:ascii="Segoe UI" w:eastAsia="Times New Roman" w:hAnsi="Segoe UI" w:cs="Segoe UI"/>
          <w:sz w:val="21"/>
          <w:szCs w:val="21"/>
        </w:rPr>
        <w:t>Thank you for your continued support and engagement.</w:t>
      </w:r>
    </w:p>
    <w:p w14:paraId="4F01A61D" w14:textId="77777777" w:rsidR="00F77C7D" w:rsidRPr="00F77C7D" w:rsidRDefault="00F77C7D" w:rsidP="00F77C7D">
      <w:pPr>
        <w:spacing w:before="100" w:beforeAutospacing="1" w:after="100" w:afterAutospacing="1" w:line="300" w:lineRule="atLeast"/>
        <w:rPr>
          <w:rFonts w:ascii="Segoe UI" w:eastAsia="Times New Roman" w:hAnsi="Segoe UI" w:cs="Segoe UI"/>
          <w:sz w:val="21"/>
          <w:szCs w:val="21"/>
        </w:rPr>
      </w:pPr>
      <w:r w:rsidRPr="00F77C7D">
        <w:rPr>
          <w:rFonts w:ascii="Segoe UI" w:eastAsia="Times New Roman" w:hAnsi="Segoe UI" w:cs="Segoe UI"/>
          <w:sz w:val="21"/>
          <w:szCs w:val="21"/>
        </w:rPr>
        <w:t>Kind regards,</w:t>
      </w:r>
    </w:p>
    <w:p w14:paraId="0D4E8F97" w14:textId="77777777" w:rsidR="00F77C7D" w:rsidRPr="00F77C7D" w:rsidRDefault="00F77C7D" w:rsidP="00F77C7D">
      <w:pPr>
        <w:spacing w:before="100" w:beforeAutospacing="1" w:after="100" w:afterAutospacing="1" w:line="300" w:lineRule="atLeast"/>
        <w:rPr>
          <w:rFonts w:ascii="Segoe UI" w:eastAsia="Times New Roman" w:hAnsi="Segoe UI" w:cs="Segoe UI"/>
          <w:sz w:val="21"/>
          <w:szCs w:val="21"/>
        </w:rPr>
      </w:pPr>
      <w:r w:rsidRPr="00F77C7D">
        <w:rPr>
          <w:rFonts w:ascii="Segoe UI" w:eastAsia="Times New Roman" w:hAnsi="Segoe UI" w:cs="Segoe UI"/>
          <w:b/>
          <w:bCs/>
          <w:sz w:val="21"/>
          <w:szCs w:val="21"/>
        </w:rPr>
        <w:t>James R. DePasquale</w:t>
      </w:r>
      <w:r w:rsidRPr="00F77C7D">
        <w:rPr>
          <w:rFonts w:ascii="Segoe UI" w:eastAsia="Times New Roman" w:hAnsi="Segoe UI" w:cs="Segoe UI"/>
          <w:sz w:val="21"/>
          <w:szCs w:val="21"/>
        </w:rPr>
        <w:br/>
        <w:t>Chair &amp; President</w:t>
      </w:r>
      <w:r w:rsidRPr="00F77C7D">
        <w:rPr>
          <w:rFonts w:ascii="Segoe UI" w:eastAsia="Times New Roman" w:hAnsi="Segoe UI" w:cs="Segoe UI"/>
          <w:sz w:val="21"/>
          <w:szCs w:val="21"/>
        </w:rPr>
        <w:br/>
      </w:r>
      <w:r w:rsidRPr="00F77C7D">
        <w:rPr>
          <w:rFonts w:ascii="Segoe UI" w:eastAsia="Times New Roman" w:hAnsi="Segoe UI" w:cs="Segoe UI"/>
          <w:b/>
          <w:bCs/>
          <w:sz w:val="21"/>
          <w:szCs w:val="21"/>
        </w:rPr>
        <w:t>California Alliance of Taxpayer Advocates (CATA)</w:t>
      </w:r>
    </w:p>
    <w:p w14:paraId="19E73A4C" w14:textId="77777777" w:rsidR="00F77C7D" w:rsidRPr="00F77C7D" w:rsidRDefault="00D749A4" w:rsidP="00F77C7D">
      <w:pPr>
        <w:spacing w:line="300" w:lineRule="atLeast"/>
        <w:rPr>
          <w:rFonts w:ascii="Segoe UI" w:eastAsia="Times New Roman" w:hAnsi="Segoe UI" w:cs="Segoe UI"/>
          <w:sz w:val="21"/>
          <w:szCs w:val="21"/>
        </w:rPr>
      </w:pPr>
      <w:r>
        <w:rPr>
          <w:rFonts w:ascii="Segoe UI" w:eastAsia="Times New Roman" w:hAnsi="Segoe UI" w:cs="Segoe UI"/>
          <w:sz w:val="21"/>
          <w:szCs w:val="21"/>
        </w:rPr>
        <w:pict w14:anchorId="5D979BA0">
          <v:rect id="_x0000_i1029" style="width:0;height:1.5pt" o:hralign="center" o:hrstd="t" o:hr="t" fillcolor="#a0a0a0" stroked="f"/>
        </w:pict>
      </w:r>
    </w:p>
    <w:p w14:paraId="56B4300D" w14:textId="77777777" w:rsidR="00F77C7D" w:rsidRPr="00F77C7D" w:rsidRDefault="00F77C7D" w:rsidP="00F77C7D">
      <w:pPr>
        <w:spacing w:before="100" w:beforeAutospacing="1" w:after="100" w:afterAutospacing="1" w:line="300" w:lineRule="atLeast"/>
        <w:outlineLvl w:val="2"/>
        <w:rPr>
          <w:rFonts w:ascii="Segoe UI" w:eastAsia="Times New Roman" w:hAnsi="Segoe UI" w:cs="Segoe UI"/>
          <w:b/>
          <w:bCs/>
          <w:sz w:val="27"/>
          <w:szCs w:val="27"/>
        </w:rPr>
      </w:pPr>
      <w:r w:rsidRPr="00F77C7D">
        <w:rPr>
          <w:rFonts w:ascii="Segoe UI" w:eastAsia="Times New Roman" w:hAnsi="Segoe UI" w:cs="Segoe UI"/>
          <w:b/>
          <w:bCs/>
          <w:sz w:val="27"/>
          <w:szCs w:val="27"/>
        </w:rPr>
        <w:t>About CATA</w:t>
      </w:r>
    </w:p>
    <w:p w14:paraId="59A456A3" w14:textId="77777777" w:rsidR="00F77C7D" w:rsidRPr="00F77C7D" w:rsidRDefault="00F77C7D" w:rsidP="00F77C7D">
      <w:pPr>
        <w:spacing w:before="100" w:beforeAutospacing="1" w:after="100" w:afterAutospacing="1" w:line="300" w:lineRule="atLeast"/>
        <w:rPr>
          <w:rFonts w:ascii="Segoe UI" w:eastAsia="Times New Roman" w:hAnsi="Segoe UI" w:cs="Segoe UI"/>
          <w:sz w:val="21"/>
          <w:szCs w:val="21"/>
        </w:rPr>
      </w:pPr>
      <w:r w:rsidRPr="00F77C7D">
        <w:rPr>
          <w:rFonts w:ascii="Segoe UI" w:eastAsia="Times New Roman" w:hAnsi="Segoe UI" w:cs="Segoe UI"/>
          <w:sz w:val="21"/>
          <w:szCs w:val="21"/>
        </w:rPr>
        <w:t>The California Alliance of Taxpayer Advocates (CATA) is a leading property taxpayer advocacy organization dedicated to promoting fair, equitable, and transparent property tax administration throughout California.</w:t>
      </w:r>
    </w:p>
    <w:p w14:paraId="109C84FB" w14:textId="77777777" w:rsidR="00F77C7D" w:rsidRPr="00F77C7D" w:rsidRDefault="00F77C7D" w:rsidP="00F77C7D">
      <w:pPr>
        <w:spacing w:before="100" w:beforeAutospacing="1" w:after="100" w:afterAutospacing="1" w:line="300" w:lineRule="atLeast"/>
        <w:rPr>
          <w:rFonts w:ascii="Segoe UI" w:eastAsia="Times New Roman" w:hAnsi="Segoe UI" w:cs="Segoe UI"/>
          <w:sz w:val="21"/>
          <w:szCs w:val="21"/>
        </w:rPr>
      </w:pPr>
      <w:r w:rsidRPr="00F77C7D">
        <w:rPr>
          <w:rFonts w:ascii="Segoe UI" w:eastAsia="Times New Roman" w:hAnsi="Segoe UI" w:cs="Segoe UI"/>
          <w:sz w:val="21"/>
          <w:szCs w:val="21"/>
        </w:rPr>
        <w:t>To become a member, contribute to our advocacy efforts, or learn more about the issues discussed in this update, please contact:</w:t>
      </w:r>
    </w:p>
    <w:p w14:paraId="5FA65BE3" w14:textId="7B4346D2" w:rsidR="00F77C7D" w:rsidRPr="00F77C7D" w:rsidRDefault="00F77C7D" w:rsidP="00F77C7D">
      <w:pPr>
        <w:spacing w:before="100" w:beforeAutospacing="1" w:after="100" w:afterAutospacing="1" w:line="300" w:lineRule="atLeast"/>
        <w:rPr>
          <w:rFonts w:ascii="Segoe UI" w:eastAsia="Times New Roman" w:hAnsi="Segoe UI" w:cs="Segoe UI"/>
          <w:sz w:val="21"/>
          <w:szCs w:val="21"/>
        </w:rPr>
      </w:pPr>
      <w:r w:rsidRPr="00F77C7D">
        <w:rPr>
          <w:rFonts w:ascii="Segoe UI" w:eastAsia="Times New Roman" w:hAnsi="Segoe UI" w:cs="Segoe UI"/>
          <w:b/>
          <w:bCs/>
          <w:sz w:val="21"/>
          <w:szCs w:val="21"/>
        </w:rPr>
        <w:t>James DePasquale</w:t>
      </w:r>
      <w:r w:rsidRPr="00F77C7D">
        <w:rPr>
          <w:rFonts w:ascii="Segoe UI" w:eastAsia="Times New Roman" w:hAnsi="Segoe UI" w:cs="Segoe UI"/>
          <w:sz w:val="21"/>
          <w:szCs w:val="21"/>
        </w:rPr>
        <w:br/>
      </w:r>
      <w:hyperlink r:id="rId8" w:history="1">
        <w:r w:rsidR="00D749A4" w:rsidRPr="00025EE8">
          <w:rPr>
            <w:rStyle w:val="Hyperlink"/>
            <w:rFonts w:ascii="Segoe UI" w:eastAsia="Times New Roman" w:hAnsi="Segoe UI" w:cs="Segoe UI"/>
            <w:sz w:val="21"/>
            <w:szCs w:val="21"/>
          </w:rPr>
          <w:t>info@cataxadvocates.org</w:t>
        </w:r>
      </w:hyperlink>
    </w:p>
    <w:p w14:paraId="32827910" w14:textId="526B2092" w:rsidR="00D749A4" w:rsidRDefault="00D749A4" w:rsidP="00F77C7D">
      <w:pPr>
        <w:spacing w:before="100" w:beforeAutospacing="1" w:after="100" w:afterAutospacing="1" w:line="300" w:lineRule="atLeast"/>
        <w:rPr>
          <w:rFonts w:ascii="Segoe UI" w:eastAsia="Times New Roman" w:hAnsi="Segoe UI" w:cs="Segoe UI"/>
          <w:sz w:val="21"/>
          <w:szCs w:val="21"/>
        </w:rPr>
      </w:pPr>
      <w:r>
        <w:rPr>
          <w:rFonts w:ascii="Segoe UI" w:eastAsia="Times New Roman" w:hAnsi="Segoe UI" w:cs="Segoe UI"/>
          <w:sz w:val="21"/>
          <w:szCs w:val="21"/>
        </w:rPr>
        <w:t>All Correspondence to:</w:t>
      </w:r>
    </w:p>
    <w:p w14:paraId="73C55508" w14:textId="77777777" w:rsidR="00D749A4" w:rsidRDefault="00D749A4" w:rsidP="00D749A4">
      <w:pPr>
        <w:spacing w:line="300" w:lineRule="atLeast"/>
        <w:rPr>
          <w:rFonts w:ascii="Segoe UI" w:eastAsia="Times New Roman" w:hAnsi="Segoe UI" w:cs="Segoe UI"/>
          <w:sz w:val="21"/>
          <w:szCs w:val="21"/>
        </w:rPr>
      </w:pPr>
      <w:r>
        <w:rPr>
          <w:rFonts w:ascii="Segoe UI" w:eastAsia="Times New Roman" w:hAnsi="Segoe UI" w:cs="Segoe UI"/>
          <w:sz w:val="21"/>
          <w:szCs w:val="21"/>
        </w:rPr>
        <w:t>BM&amp;H, LLP</w:t>
      </w:r>
    </w:p>
    <w:p w14:paraId="0C1FF0FB" w14:textId="346A7989" w:rsidR="00F77C7D" w:rsidRPr="00F77C7D" w:rsidRDefault="00F77C7D" w:rsidP="00D749A4">
      <w:pPr>
        <w:spacing w:line="300" w:lineRule="atLeast"/>
        <w:rPr>
          <w:rFonts w:ascii="Segoe UI" w:eastAsia="Times New Roman" w:hAnsi="Segoe UI" w:cs="Segoe UI"/>
          <w:sz w:val="21"/>
          <w:szCs w:val="21"/>
        </w:rPr>
      </w:pPr>
      <w:r w:rsidRPr="00F77C7D">
        <w:rPr>
          <w:rFonts w:ascii="Segoe UI" w:eastAsia="Times New Roman" w:hAnsi="Segoe UI" w:cs="Segoe UI"/>
          <w:sz w:val="21"/>
          <w:szCs w:val="21"/>
        </w:rPr>
        <w:t>455 Capitol Mall, Suite 600</w:t>
      </w:r>
      <w:r w:rsidRPr="00F77C7D">
        <w:rPr>
          <w:rFonts w:ascii="Segoe UI" w:eastAsia="Times New Roman" w:hAnsi="Segoe UI" w:cs="Segoe UI"/>
          <w:sz w:val="21"/>
          <w:szCs w:val="21"/>
        </w:rPr>
        <w:br/>
        <w:t>Sacramento, CA 95814</w:t>
      </w:r>
    </w:p>
    <w:p w14:paraId="406C74AC" w14:textId="77777777" w:rsidR="00F77C7D" w:rsidRPr="00F77C7D" w:rsidRDefault="00F77C7D" w:rsidP="00D749A4">
      <w:pPr>
        <w:spacing w:line="300" w:lineRule="atLeast"/>
        <w:rPr>
          <w:rFonts w:ascii="Segoe UI" w:eastAsia="Times New Roman" w:hAnsi="Segoe UI" w:cs="Segoe UI"/>
          <w:sz w:val="21"/>
          <w:szCs w:val="21"/>
        </w:rPr>
      </w:pPr>
      <w:r w:rsidRPr="00F77C7D">
        <w:rPr>
          <w:rFonts w:ascii="Segoe UI" w:eastAsia="Times New Roman" w:hAnsi="Segoe UI" w:cs="Segoe UI"/>
          <w:sz w:val="21"/>
          <w:szCs w:val="21"/>
        </w:rPr>
        <w:t>(916) 241-3389</w:t>
      </w:r>
    </w:p>
    <w:p w14:paraId="55F3405E" w14:textId="33091784" w:rsidR="006E4754" w:rsidRPr="00D749A4" w:rsidRDefault="00D749A4" w:rsidP="00D749A4">
      <w:pPr>
        <w:spacing w:line="300" w:lineRule="atLeast"/>
        <w:rPr>
          <w:rFonts w:ascii="Segoe UI" w:eastAsia="Times New Roman" w:hAnsi="Segoe UI" w:cs="Segoe UI"/>
          <w:sz w:val="21"/>
          <w:szCs w:val="21"/>
        </w:rPr>
      </w:pPr>
      <w:hyperlink r:id="rId9" w:history="1">
        <w:r w:rsidR="00F77C7D" w:rsidRPr="00F77C7D">
          <w:rPr>
            <w:rFonts w:ascii="Segoe UI" w:eastAsia="Times New Roman" w:hAnsi="Segoe UI" w:cs="Segoe UI"/>
            <w:color w:val="464FEB"/>
            <w:sz w:val="21"/>
            <w:szCs w:val="21"/>
          </w:rPr>
          <w:t>www.cataxadvocates.org</w:t>
        </w:r>
      </w:hyperlink>
    </w:p>
    <w:sectPr w:rsidR="006E4754" w:rsidRPr="00D749A4" w:rsidSect="006E4754">
      <w:headerReference w:type="even" r:id="rId10"/>
      <w:headerReference w:type="default" r:id="rId11"/>
      <w:footerReference w:type="even" r:id="rId12"/>
      <w:footerReference w:type="default" r:id="rId13"/>
      <w:headerReference w:type="first" r:id="rId14"/>
      <w:footerReference w:type="first" r:id="rId15"/>
      <w:pgSz w:w="12240" w:h="15840"/>
      <w:pgMar w:top="1296" w:right="1440" w:bottom="1584" w:left="1440" w:header="115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89511" w14:textId="77777777" w:rsidR="007C05CD" w:rsidRDefault="00711F2C">
      <w:r>
        <w:separator/>
      </w:r>
    </w:p>
  </w:endnote>
  <w:endnote w:type="continuationSeparator" w:id="0">
    <w:p w14:paraId="49C17A78" w14:textId="77777777" w:rsidR="007C05CD" w:rsidRDefault="00711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6DC3C" w14:textId="77777777" w:rsidR="009459DC" w:rsidRDefault="009459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876391"/>
      <w:docPartObj>
        <w:docPartGallery w:val="Page Numbers (Bottom of Page)"/>
        <w:docPartUnique/>
      </w:docPartObj>
    </w:sdtPr>
    <w:sdtEndPr/>
    <w:sdtContent>
      <w:sdt>
        <w:sdtPr>
          <w:id w:val="1728636285"/>
          <w:docPartObj>
            <w:docPartGallery w:val="Page Numbers (Top of Page)"/>
            <w:docPartUnique/>
          </w:docPartObj>
        </w:sdtPr>
        <w:sdtEndPr/>
        <w:sdtContent>
          <w:p w14:paraId="7BD2D9DE" w14:textId="3C9D961C" w:rsidR="009459DC" w:rsidRDefault="009459DC">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2E653607" w14:textId="77777777" w:rsidR="00EC7521" w:rsidRPr="00EC7521" w:rsidRDefault="00D749A4" w:rsidP="00EC7521">
    <w:pPr>
      <w:pStyle w:val="Footer"/>
      <w:jc w:val="center"/>
      <w:rPr>
        <w:rFonts w:asciiTheme="majorHAnsi" w:hAnsiTheme="majorHAns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2FEBA" w14:textId="77777777" w:rsidR="009459DC" w:rsidRDefault="009459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D8BA7" w14:textId="77777777" w:rsidR="007C05CD" w:rsidRDefault="00711F2C">
      <w:r>
        <w:separator/>
      </w:r>
    </w:p>
  </w:footnote>
  <w:footnote w:type="continuationSeparator" w:id="0">
    <w:p w14:paraId="6D7D9E2E" w14:textId="77777777" w:rsidR="007C05CD" w:rsidRDefault="00711F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4CF6C" w14:textId="77777777" w:rsidR="009459DC" w:rsidRDefault="009459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84BFD" w14:textId="77777777" w:rsidR="009459DC" w:rsidRDefault="009459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F963C" w14:textId="77777777" w:rsidR="009459DC" w:rsidRDefault="009459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DA0B0B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0848F6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5C2447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90AB0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8FEB54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E5CF37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540597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16C70D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38EF08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04226E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10B7407"/>
    <w:multiLevelType w:val="multilevel"/>
    <w:tmpl w:val="FC947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01415C"/>
    <w:multiLevelType w:val="hybridMultilevel"/>
    <w:tmpl w:val="C600765C"/>
    <w:lvl w:ilvl="0" w:tplc="0409000F">
      <w:start w:val="1"/>
      <w:numFmt w:val="decimal"/>
      <w:lvlText w:val="%1."/>
      <w:lvlJc w:val="left"/>
      <w:pPr>
        <w:ind w:left="1350" w:hanging="360"/>
      </w:pPr>
    </w:lvl>
    <w:lvl w:ilvl="1" w:tplc="C2D87F90">
      <w:start w:val="1"/>
      <w:numFmt w:val="lowerLetter"/>
      <w:lvlText w:val="%2."/>
      <w:lvlJc w:val="left"/>
      <w:pPr>
        <w:ind w:left="1350" w:hanging="360"/>
      </w:pPr>
      <w:rPr>
        <w:rFonts w:ascii="Times New Roman" w:eastAsia="Calibri" w:hAnsi="Times New Roman" w:cs="Times New Roman"/>
      </w:rPr>
    </w:lvl>
    <w:lvl w:ilvl="2" w:tplc="22AEC9A8">
      <w:start w:val="1"/>
      <w:numFmt w:val="lowerLetter"/>
      <w:lvlText w:val="%3."/>
      <w:lvlJc w:val="right"/>
      <w:pPr>
        <w:ind w:left="2340" w:hanging="180"/>
      </w:pPr>
      <w:rPr>
        <w:rFonts w:ascii="Times New Roman" w:eastAsia="Calibri" w:hAnsi="Times New Roman" w:cs="Times New Roman"/>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B113E28"/>
    <w:multiLevelType w:val="multilevel"/>
    <w:tmpl w:val="9266F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C56B59"/>
    <w:multiLevelType w:val="multilevel"/>
    <w:tmpl w:val="EAD45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368014">
    <w:abstractNumId w:val="9"/>
  </w:num>
  <w:num w:numId="2" w16cid:durableId="1224952626">
    <w:abstractNumId w:val="7"/>
  </w:num>
  <w:num w:numId="3" w16cid:durableId="878317645">
    <w:abstractNumId w:val="6"/>
  </w:num>
  <w:num w:numId="4" w16cid:durableId="766190466">
    <w:abstractNumId w:val="5"/>
  </w:num>
  <w:num w:numId="5" w16cid:durableId="1895699610">
    <w:abstractNumId w:val="4"/>
  </w:num>
  <w:num w:numId="6" w16cid:durableId="1995178938">
    <w:abstractNumId w:val="8"/>
  </w:num>
  <w:num w:numId="7" w16cid:durableId="1309943589">
    <w:abstractNumId w:val="3"/>
  </w:num>
  <w:num w:numId="8" w16cid:durableId="1929071034">
    <w:abstractNumId w:val="2"/>
  </w:num>
  <w:num w:numId="9" w16cid:durableId="1769352460">
    <w:abstractNumId w:val="1"/>
  </w:num>
  <w:num w:numId="10" w16cid:durableId="275914066">
    <w:abstractNumId w:val="0"/>
  </w:num>
  <w:num w:numId="11" w16cid:durableId="5074056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31747318">
    <w:abstractNumId w:val="13"/>
  </w:num>
  <w:num w:numId="13" w16cid:durableId="686635038">
    <w:abstractNumId w:val="12"/>
  </w:num>
  <w:num w:numId="14" w16cid:durableId="6126379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1C2"/>
    <w:rsid w:val="00044A95"/>
    <w:rsid w:val="0008513A"/>
    <w:rsid w:val="000E4951"/>
    <w:rsid w:val="00105504"/>
    <w:rsid w:val="00176661"/>
    <w:rsid w:val="002637B8"/>
    <w:rsid w:val="002B68F4"/>
    <w:rsid w:val="002C2B94"/>
    <w:rsid w:val="003B2867"/>
    <w:rsid w:val="004164BD"/>
    <w:rsid w:val="00437205"/>
    <w:rsid w:val="004D0189"/>
    <w:rsid w:val="004D01C2"/>
    <w:rsid w:val="00504B80"/>
    <w:rsid w:val="005A7E6D"/>
    <w:rsid w:val="005C2E88"/>
    <w:rsid w:val="00646847"/>
    <w:rsid w:val="006858B5"/>
    <w:rsid w:val="006A51F3"/>
    <w:rsid w:val="00711F2C"/>
    <w:rsid w:val="00781A51"/>
    <w:rsid w:val="007C05CD"/>
    <w:rsid w:val="007C44D0"/>
    <w:rsid w:val="00805CD8"/>
    <w:rsid w:val="008344C6"/>
    <w:rsid w:val="008A24EC"/>
    <w:rsid w:val="008E6D41"/>
    <w:rsid w:val="00923D21"/>
    <w:rsid w:val="00925CEA"/>
    <w:rsid w:val="009459DC"/>
    <w:rsid w:val="00952633"/>
    <w:rsid w:val="00974817"/>
    <w:rsid w:val="009874D9"/>
    <w:rsid w:val="00A021A3"/>
    <w:rsid w:val="00A04DED"/>
    <w:rsid w:val="00A37471"/>
    <w:rsid w:val="00A515A3"/>
    <w:rsid w:val="00A62D30"/>
    <w:rsid w:val="00AE7EBD"/>
    <w:rsid w:val="00B02D27"/>
    <w:rsid w:val="00B10DA9"/>
    <w:rsid w:val="00B20562"/>
    <w:rsid w:val="00B34CE2"/>
    <w:rsid w:val="00B645D0"/>
    <w:rsid w:val="00C84BEB"/>
    <w:rsid w:val="00D16D39"/>
    <w:rsid w:val="00D26164"/>
    <w:rsid w:val="00D749A4"/>
    <w:rsid w:val="00E13F12"/>
    <w:rsid w:val="00E6579C"/>
    <w:rsid w:val="00E90F72"/>
    <w:rsid w:val="00F77C7D"/>
    <w:rsid w:val="00FE37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56ED967E"/>
  <w15:docId w15:val="{51E2A739-9CD3-4628-967D-8A7C6661F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Normal">
    <w:name w:val="Normal"/>
    <w:qFormat/>
    <w:rsid w:val="00370F0A"/>
    <w:rPr>
      <w:rFonts w:ascii="Calibri" w:hAnsi="Calibri" w:cs="Calibri"/>
      <w:sz w:val="22"/>
    </w:rPr>
  </w:style>
  <w:style w:type="paragraph" w:styleId="Heading1">
    <w:name w:val="heading 1"/>
    <w:basedOn w:val="Normal"/>
    <w:next w:val="Normal"/>
    <w:link w:val="Heading1Char"/>
    <w:uiPriority w:val="9"/>
    <w:qFormat/>
    <w:rsid w:val="0016446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16446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6446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16446A"/>
    <w:pPr>
      <w:keepNext/>
      <w:keepLines/>
      <w:spacing w:before="40"/>
      <w:outlineLvl w:val="3"/>
    </w:pPr>
    <w:rPr>
      <w:rFonts w:asciiTheme="majorHAnsi" w:eastAsiaTheme="majorEastAsia" w:hAnsiTheme="majorHAnsi" w:cstheme="majorBidi"/>
      <w:i/>
      <w:iCs/>
      <w:color w:val="365F91" w:themeColor="accent1" w:themeShade="BF"/>
      <w:sz w:val="24"/>
    </w:rPr>
  </w:style>
  <w:style w:type="paragraph" w:styleId="Heading5">
    <w:name w:val="heading 5"/>
    <w:basedOn w:val="Normal"/>
    <w:next w:val="Normal"/>
    <w:link w:val="Heading5Char"/>
    <w:uiPriority w:val="9"/>
    <w:semiHidden/>
    <w:unhideWhenUsed/>
    <w:qFormat/>
    <w:rsid w:val="0016446A"/>
    <w:pPr>
      <w:keepNext/>
      <w:keepLines/>
      <w:spacing w:before="40"/>
      <w:outlineLvl w:val="4"/>
    </w:pPr>
    <w:rPr>
      <w:rFonts w:asciiTheme="majorHAnsi" w:eastAsiaTheme="majorEastAsia" w:hAnsiTheme="majorHAnsi" w:cstheme="majorBidi"/>
      <w:color w:val="365F91" w:themeColor="accent1" w:themeShade="BF"/>
      <w:sz w:val="24"/>
    </w:rPr>
  </w:style>
  <w:style w:type="paragraph" w:styleId="Heading6">
    <w:name w:val="heading 6"/>
    <w:basedOn w:val="Normal"/>
    <w:next w:val="Normal"/>
    <w:link w:val="Heading6Char"/>
    <w:uiPriority w:val="9"/>
    <w:semiHidden/>
    <w:unhideWhenUsed/>
    <w:qFormat/>
    <w:rsid w:val="0016446A"/>
    <w:pPr>
      <w:keepNext/>
      <w:keepLines/>
      <w:spacing w:before="40"/>
      <w:outlineLvl w:val="5"/>
    </w:pPr>
    <w:rPr>
      <w:rFonts w:asciiTheme="majorHAnsi" w:eastAsiaTheme="majorEastAsia" w:hAnsiTheme="majorHAnsi" w:cstheme="majorBidi"/>
      <w:color w:val="243F60" w:themeColor="accent1" w:themeShade="7F"/>
      <w:sz w:val="24"/>
    </w:rPr>
  </w:style>
  <w:style w:type="paragraph" w:styleId="Heading7">
    <w:name w:val="heading 7"/>
    <w:basedOn w:val="Normal"/>
    <w:next w:val="Normal"/>
    <w:link w:val="Heading7Char"/>
    <w:uiPriority w:val="9"/>
    <w:semiHidden/>
    <w:unhideWhenUsed/>
    <w:qFormat/>
    <w:rsid w:val="0016446A"/>
    <w:pPr>
      <w:keepNext/>
      <w:keepLines/>
      <w:spacing w:before="40"/>
      <w:outlineLvl w:val="6"/>
    </w:pPr>
    <w:rPr>
      <w:rFonts w:asciiTheme="majorHAnsi" w:eastAsiaTheme="majorEastAsia" w:hAnsiTheme="majorHAnsi" w:cstheme="majorBidi"/>
      <w:i/>
      <w:iCs/>
      <w:color w:val="243F60" w:themeColor="accent1" w:themeShade="7F"/>
      <w:sz w:val="24"/>
    </w:rPr>
  </w:style>
  <w:style w:type="paragraph" w:styleId="Heading8">
    <w:name w:val="heading 8"/>
    <w:basedOn w:val="Normal"/>
    <w:next w:val="Normal"/>
    <w:link w:val="Heading8Char"/>
    <w:uiPriority w:val="9"/>
    <w:semiHidden/>
    <w:unhideWhenUsed/>
    <w:qFormat/>
    <w:rsid w:val="0016446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6446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44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446A"/>
    <w:rPr>
      <w:rFonts w:ascii="Segoe UI" w:hAnsi="Segoe UI" w:cs="Segoe UI"/>
      <w:sz w:val="18"/>
      <w:szCs w:val="18"/>
    </w:rPr>
  </w:style>
  <w:style w:type="paragraph" w:styleId="Bibliography">
    <w:name w:val="Bibliography"/>
    <w:basedOn w:val="Normal"/>
    <w:next w:val="Normal"/>
    <w:uiPriority w:val="37"/>
    <w:semiHidden/>
    <w:unhideWhenUsed/>
    <w:rsid w:val="0016446A"/>
  </w:style>
  <w:style w:type="paragraph" w:styleId="BlockText">
    <w:name w:val="Block Text"/>
    <w:basedOn w:val="Normal"/>
    <w:uiPriority w:val="99"/>
    <w:semiHidden/>
    <w:unhideWhenUsed/>
    <w:rsid w:val="0016446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BodyText">
    <w:name w:val="Body Text"/>
    <w:basedOn w:val="Normal"/>
    <w:link w:val="BodyTextChar"/>
    <w:uiPriority w:val="99"/>
    <w:semiHidden/>
    <w:unhideWhenUsed/>
    <w:rsid w:val="0016446A"/>
    <w:pPr>
      <w:spacing w:after="120"/>
    </w:pPr>
    <w:rPr>
      <w:rFonts w:ascii="Times New Roman" w:hAnsi="Times New Roman" w:cstheme="minorBidi"/>
      <w:sz w:val="24"/>
    </w:rPr>
  </w:style>
  <w:style w:type="character" w:customStyle="1" w:styleId="BodyTextChar">
    <w:name w:val="Body Text Char"/>
    <w:basedOn w:val="DefaultParagraphFont"/>
    <w:link w:val="BodyText"/>
    <w:uiPriority w:val="99"/>
    <w:semiHidden/>
    <w:rsid w:val="0016446A"/>
  </w:style>
  <w:style w:type="paragraph" w:styleId="BodyText2">
    <w:name w:val="Body Text 2"/>
    <w:basedOn w:val="Normal"/>
    <w:link w:val="BodyText2Char"/>
    <w:uiPriority w:val="99"/>
    <w:semiHidden/>
    <w:unhideWhenUsed/>
    <w:rsid w:val="0016446A"/>
    <w:pPr>
      <w:spacing w:after="120" w:line="480" w:lineRule="auto"/>
    </w:pPr>
    <w:rPr>
      <w:rFonts w:ascii="Times New Roman" w:hAnsi="Times New Roman" w:cstheme="minorBidi"/>
      <w:sz w:val="24"/>
    </w:rPr>
  </w:style>
  <w:style w:type="character" w:customStyle="1" w:styleId="BodyText2Char">
    <w:name w:val="Body Text 2 Char"/>
    <w:basedOn w:val="DefaultParagraphFont"/>
    <w:link w:val="BodyText2"/>
    <w:uiPriority w:val="99"/>
    <w:semiHidden/>
    <w:rsid w:val="0016446A"/>
  </w:style>
  <w:style w:type="paragraph" w:styleId="BodyText3">
    <w:name w:val="Body Text 3"/>
    <w:basedOn w:val="Normal"/>
    <w:link w:val="BodyText3Char"/>
    <w:uiPriority w:val="99"/>
    <w:semiHidden/>
    <w:unhideWhenUsed/>
    <w:rsid w:val="0016446A"/>
    <w:pPr>
      <w:spacing w:after="120"/>
    </w:pPr>
    <w:rPr>
      <w:rFonts w:ascii="Times New Roman" w:hAnsi="Times New Roman" w:cstheme="minorBidi"/>
      <w:sz w:val="16"/>
      <w:szCs w:val="16"/>
    </w:rPr>
  </w:style>
  <w:style w:type="character" w:customStyle="1" w:styleId="BodyText3Char">
    <w:name w:val="Body Text 3 Char"/>
    <w:basedOn w:val="DefaultParagraphFont"/>
    <w:link w:val="BodyText3"/>
    <w:uiPriority w:val="99"/>
    <w:semiHidden/>
    <w:rsid w:val="0016446A"/>
    <w:rPr>
      <w:sz w:val="16"/>
      <w:szCs w:val="16"/>
    </w:rPr>
  </w:style>
  <w:style w:type="paragraph" w:styleId="BodyTextFirstIndent">
    <w:name w:val="Body Text First Indent"/>
    <w:basedOn w:val="BodyText"/>
    <w:link w:val="BodyTextFirstIndentChar"/>
    <w:uiPriority w:val="99"/>
    <w:semiHidden/>
    <w:unhideWhenUsed/>
    <w:rsid w:val="0016446A"/>
    <w:pPr>
      <w:spacing w:after="0"/>
      <w:ind w:firstLine="360"/>
    </w:pPr>
  </w:style>
  <w:style w:type="character" w:customStyle="1" w:styleId="BodyTextFirstIndentChar">
    <w:name w:val="Body Text First Indent Char"/>
    <w:basedOn w:val="BodyTextChar"/>
    <w:link w:val="BodyTextFirstIndent"/>
    <w:uiPriority w:val="99"/>
    <w:semiHidden/>
    <w:rsid w:val="0016446A"/>
  </w:style>
  <w:style w:type="paragraph" w:styleId="BodyTextIndent">
    <w:name w:val="Body Text Indent"/>
    <w:basedOn w:val="Normal"/>
    <w:link w:val="BodyTextIndentChar"/>
    <w:uiPriority w:val="99"/>
    <w:semiHidden/>
    <w:unhideWhenUsed/>
    <w:rsid w:val="0016446A"/>
    <w:pPr>
      <w:spacing w:after="120"/>
      <w:ind w:left="360"/>
    </w:pPr>
    <w:rPr>
      <w:rFonts w:ascii="Times New Roman" w:hAnsi="Times New Roman" w:cstheme="minorBidi"/>
      <w:sz w:val="24"/>
    </w:rPr>
  </w:style>
  <w:style w:type="character" w:customStyle="1" w:styleId="BodyTextIndentChar">
    <w:name w:val="Body Text Indent Char"/>
    <w:basedOn w:val="DefaultParagraphFont"/>
    <w:link w:val="BodyTextIndent"/>
    <w:uiPriority w:val="99"/>
    <w:semiHidden/>
    <w:rsid w:val="0016446A"/>
  </w:style>
  <w:style w:type="paragraph" w:styleId="BodyTextFirstIndent2">
    <w:name w:val="Body Text First Indent 2"/>
    <w:basedOn w:val="BodyTextIndent"/>
    <w:link w:val="BodyTextFirstIndent2Char"/>
    <w:uiPriority w:val="99"/>
    <w:semiHidden/>
    <w:unhideWhenUsed/>
    <w:rsid w:val="0016446A"/>
    <w:pPr>
      <w:spacing w:after="0"/>
      <w:ind w:firstLine="360"/>
    </w:pPr>
  </w:style>
  <w:style w:type="character" w:customStyle="1" w:styleId="BodyTextFirstIndent2Char">
    <w:name w:val="Body Text First Indent 2 Char"/>
    <w:basedOn w:val="BodyTextIndentChar"/>
    <w:link w:val="BodyTextFirstIndent2"/>
    <w:uiPriority w:val="99"/>
    <w:semiHidden/>
    <w:rsid w:val="0016446A"/>
  </w:style>
  <w:style w:type="paragraph" w:styleId="BodyTextIndent2">
    <w:name w:val="Body Text Indent 2"/>
    <w:basedOn w:val="Normal"/>
    <w:link w:val="BodyTextIndent2Char"/>
    <w:uiPriority w:val="99"/>
    <w:semiHidden/>
    <w:unhideWhenUsed/>
    <w:rsid w:val="0016446A"/>
    <w:pPr>
      <w:spacing w:after="120" w:line="480" w:lineRule="auto"/>
      <w:ind w:left="360"/>
    </w:pPr>
    <w:rPr>
      <w:rFonts w:ascii="Times New Roman" w:hAnsi="Times New Roman" w:cstheme="minorBidi"/>
      <w:sz w:val="24"/>
    </w:rPr>
  </w:style>
  <w:style w:type="character" w:customStyle="1" w:styleId="BodyTextIndent2Char">
    <w:name w:val="Body Text Indent 2 Char"/>
    <w:basedOn w:val="DefaultParagraphFont"/>
    <w:link w:val="BodyTextIndent2"/>
    <w:uiPriority w:val="99"/>
    <w:semiHidden/>
    <w:rsid w:val="0016446A"/>
  </w:style>
  <w:style w:type="paragraph" w:styleId="BodyTextIndent3">
    <w:name w:val="Body Text Indent 3"/>
    <w:basedOn w:val="Normal"/>
    <w:link w:val="BodyTextIndent3Char"/>
    <w:uiPriority w:val="99"/>
    <w:semiHidden/>
    <w:unhideWhenUsed/>
    <w:rsid w:val="0016446A"/>
    <w:pPr>
      <w:spacing w:after="120"/>
      <w:ind w:left="360"/>
    </w:pPr>
    <w:rPr>
      <w:rFonts w:ascii="Times New Roman" w:hAnsi="Times New Roman" w:cstheme="minorBidi"/>
      <w:sz w:val="16"/>
      <w:szCs w:val="16"/>
    </w:rPr>
  </w:style>
  <w:style w:type="character" w:customStyle="1" w:styleId="BodyTextIndent3Char">
    <w:name w:val="Body Text Indent 3 Char"/>
    <w:basedOn w:val="DefaultParagraphFont"/>
    <w:link w:val="BodyTextIndent3"/>
    <w:uiPriority w:val="99"/>
    <w:semiHidden/>
    <w:rsid w:val="0016446A"/>
    <w:rPr>
      <w:sz w:val="16"/>
      <w:szCs w:val="16"/>
    </w:rPr>
  </w:style>
  <w:style w:type="paragraph" w:styleId="Caption">
    <w:name w:val="caption"/>
    <w:basedOn w:val="Normal"/>
    <w:next w:val="Normal"/>
    <w:uiPriority w:val="35"/>
    <w:semiHidden/>
    <w:unhideWhenUsed/>
    <w:qFormat/>
    <w:rsid w:val="0016446A"/>
    <w:pPr>
      <w:spacing w:after="200"/>
    </w:pPr>
    <w:rPr>
      <w:rFonts w:ascii="Times New Roman" w:hAnsi="Times New Roman" w:cstheme="minorBidi"/>
      <w:i/>
      <w:iCs/>
      <w:color w:val="1F497D" w:themeColor="text2"/>
      <w:sz w:val="18"/>
      <w:szCs w:val="18"/>
    </w:rPr>
  </w:style>
  <w:style w:type="paragraph" w:styleId="Closing">
    <w:name w:val="Closing"/>
    <w:basedOn w:val="Normal"/>
    <w:link w:val="ClosingChar"/>
    <w:uiPriority w:val="99"/>
    <w:semiHidden/>
    <w:unhideWhenUsed/>
    <w:rsid w:val="0016446A"/>
    <w:pPr>
      <w:ind w:left="4320"/>
    </w:pPr>
    <w:rPr>
      <w:rFonts w:ascii="Times New Roman" w:hAnsi="Times New Roman" w:cstheme="minorBidi"/>
      <w:sz w:val="24"/>
    </w:rPr>
  </w:style>
  <w:style w:type="character" w:customStyle="1" w:styleId="ClosingChar">
    <w:name w:val="Closing Char"/>
    <w:basedOn w:val="DefaultParagraphFont"/>
    <w:link w:val="Closing"/>
    <w:uiPriority w:val="99"/>
    <w:semiHidden/>
    <w:rsid w:val="0016446A"/>
  </w:style>
  <w:style w:type="paragraph" w:styleId="CommentText">
    <w:name w:val="annotation text"/>
    <w:basedOn w:val="Normal"/>
    <w:link w:val="CommentTextChar"/>
    <w:uiPriority w:val="99"/>
    <w:semiHidden/>
    <w:unhideWhenUsed/>
    <w:rsid w:val="0016446A"/>
    <w:rPr>
      <w:rFonts w:ascii="Times New Roman" w:hAnsi="Times New Roman" w:cstheme="minorBidi"/>
      <w:sz w:val="20"/>
      <w:szCs w:val="20"/>
    </w:rPr>
  </w:style>
  <w:style w:type="character" w:customStyle="1" w:styleId="CommentTextChar">
    <w:name w:val="Comment Text Char"/>
    <w:basedOn w:val="DefaultParagraphFont"/>
    <w:link w:val="CommentText"/>
    <w:uiPriority w:val="99"/>
    <w:semiHidden/>
    <w:rsid w:val="0016446A"/>
    <w:rPr>
      <w:sz w:val="20"/>
      <w:szCs w:val="20"/>
    </w:rPr>
  </w:style>
  <w:style w:type="paragraph" w:styleId="CommentSubject">
    <w:name w:val="annotation subject"/>
    <w:basedOn w:val="CommentText"/>
    <w:next w:val="CommentText"/>
    <w:link w:val="CommentSubjectChar"/>
    <w:uiPriority w:val="99"/>
    <w:semiHidden/>
    <w:unhideWhenUsed/>
    <w:rsid w:val="0016446A"/>
    <w:rPr>
      <w:b/>
      <w:bCs/>
    </w:rPr>
  </w:style>
  <w:style w:type="character" w:customStyle="1" w:styleId="CommentSubjectChar">
    <w:name w:val="Comment Subject Char"/>
    <w:basedOn w:val="CommentTextChar"/>
    <w:link w:val="CommentSubject"/>
    <w:uiPriority w:val="99"/>
    <w:semiHidden/>
    <w:rsid w:val="0016446A"/>
    <w:rPr>
      <w:b/>
      <w:bCs/>
      <w:sz w:val="20"/>
      <w:szCs w:val="20"/>
    </w:rPr>
  </w:style>
  <w:style w:type="paragraph" w:styleId="Date">
    <w:name w:val="Date"/>
    <w:basedOn w:val="Normal"/>
    <w:next w:val="Normal"/>
    <w:link w:val="DateChar"/>
    <w:uiPriority w:val="99"/>
    <w:semiHidden/>
    <w:unhideWhenUsed/>
    <w:rsid w:val="0016446A"/>
  </w:style>
  <w:style w:type="character" w:customStyle="1" w:styleId="DateChar">
    <w:name w:val="Date Char"/>
    <w:basedOn w:val="DefaultParagraphFont"/>
    <w:link w:val="Date"/>
    <w:uiPriority w:val="99"/>
    <w:semiHidden/>
    <w:rsid w:val="0016446A"/>
  </w:style>
  <w:style w:type="paragraph" w:styleId="DocumentMap">
    <w:name w:val="Document Map"/>
    <w:basedOn w:val="Normal"/>
    <w:link w:val="DocumentMapChar"/>
    <w:uiPriority w:val="99"/>
    <w:semiHidden/>
    <w:unhideWhenUsed/>
    <w:rsid w:val="0016446A"/>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6446A"/>
    <w:rPr>
      <w:rFonts w:ascii="Segoe UI" w:hAnsi="Segoe UI" w:cs="Segoe UI"/>
      <w:sz w:val="16"/>
      <w:szCs w:val="16"/>
    </w:rPr>
  </w:style>
  <w:style w:type="paragraph" w:styleId="E-mailSignature">
    <w:name w:val="E-mail Signature"/>
    <w:basedOn w:val="Normal"/>
    <w:link w:val="E-mailSignatureChar"/>
    <w:uiPriority w:val="99"/>
    <w:semiHidden/>
    <w:unhideWhenUsed/>
    <w:rsid w:val="0016446A"/>
  </w:style>
  <w:style w:type="character" w:customStyle="1" w:styleId="E-mailSignatureChar">
    <w:name w:val="E-mail Signature Char"/>
    <w:basedOn w:val="DefaultParagraphFont"/>
    <w:link w:val="E-mailSignature"/>
    <w:uiPriority w:val="99"/>
    <w:semiHidden/>
    <w:rsid w:val="0016446A"/>
  </w:style>
  <w:style w:type="paragraph" w:styleId="EndnoteText">
    <w:name w:val="endnote text"/>
    <w:basedOn w:val="Normal"/>
    <w:link w:val="EndnoteTextChar"/>
    <w:uiPriority w:val="99"/>
    <w:semiHidden/>
    <w:unhideWhenUsed/>
    <w:rsid w:val="0016446A"/>
    <w:rPr>
      <w:rFonts w:ascii="Times New Roman" w:hAnsi="Times New Roman" w:cstheme="minorBidi"/>
      <w:sz w:val="20"/>
      <w:szCs w:val="20"/>
    </w:rPr>
  </w:style>
  <w:style w:type="character" w:customStyle="1" w:styleId="EndnoteTextChar">
    <w:name w:val="Endnote Text Char"/>
    <w:basedOn w:val="DefaultParagraphFont"/>
    <w:link w:val="EndnoteText"/>
    <w:uiPriority w:val="99"/>
    <w:semiHidden/>
    <w:rsid w:val="0016446A"/>
    <w:rPr>
      <w:sz w:val="20"/>
      <w:szCs w:val="20"/>
    </w:rPr>
  </w:style>
  <w:style w:type="paragraph" w:styleId="EnvelopeAddress">
    <w:name w:val="envelope address"/>
    <w:basedOn w:val="Normal"/>
    <w:uiPriority w:val="99"/>
    <w:semiHidden/>
    <w:unhideWhenUsed/>
    <w:rsid w:val="001644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6446A"/>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16446A"/>
    <w:pPr>
      <w:tabs>
        <w:tab w:val="center" w:pos="4680"/>
        <w:tab w:val="right" w:pos="9360"/>
      </w:tabs>
    </w:pPr>
    <w:rPr>
      <w:rFonts w:ascii="Times New Roman" w:hAnsi="Times New Roman" w:cstheme="minorBidi"/>
      <w:sz w:val="24"/>
    </w:rPr>
  </w:style>
  <w:style w:type="character" w:customStyle="1" w:styleId="FooterChar">
    <w:name w:val="Footer Char"/>
    <w:basedOn w:val="DefaultParagraphFont"/>
    <w:link w:val="Footer"/>
    <w:uiPriority w:val="99"/>
    <w:rsid w:val="0016446A"/>
  </w:style>
  <w:style w:type="paragraph" w:styleId="FootnoteText">
    <w:name w:val="footnote text"/>
    <w:basedOn w:val="Normal"/>
    <w:link w:val="FootnoteTextChar"/>
    <w:uiPriority w:val="99"/>
    <w:semiHidden/>
    <w:unhideWhenUsed/>
    <w:rsid w:val="0016446A"/>
    <w:rPr>
      <w:rFonts w:ascii="Times New Roman" w:hAnsi="Times New Roman" w:cstheme="minorBidi"/>
      <w:sz w:val="20"/>
      <w:szCs w:val="20"/>
    </w:rPr>
  </w:style>
  <w:style w:type="character" w:customStyle="1" w:styleId="FootnoteTextChar">
    <w:name w:val="Footnote Text Char"/>
    <w:basedOn w:val="DefaultParagraphFont"/>
    <w:link w:val="FootnoteText"/>
    <w:uiPriority w:val="99"/>
    <w:semiHidden/>
    <w:rsid w:val="0016446A"/>
    <w:rPr>
      <w:sz w:val="20"/>
      <w:szCs w:val="20"/>
    </w:rPr>
  </w:style>
  <w:style w:type="paragraph" w:styleId="Header">
    <w:name w:val="header"/>
    <w:basedOn w:val="Normal"/>
    <w:link w:val="HeaderChar"/>
    <w:uiPriority w:val="99"/>
    <w:unhideWhenUsed/>
    <w:rsid w:val="0016446A"/>
    <w:pPr>
      <w:tabs>
        <w:tab w:val="center" w:pos="4680"/>
        <w:tab w:val="right" w:pos="9360"/>
      </w:tabs>
    </w:pPr>
    <w:rPr>
      <w:rFonts w:ascii="Times New Roman" w:hAnsi="Times New Roman" w:cstheme="minorBidi"/>
      <w:sz w:val="24"/>
    </w:rPr>
  </w:style>
  <w:style w:type="character" w:customStyle="1" w:styleId="HeaderChar">
    <w:name w:val="Header Char"/>
    <w:basedOn w:val="DefaultParagraphFont"/>
    <w:link w:val="Header"/>
    <w:uiPriority w:val="99"/>
    <w:rsid w:val="0016446A"/>
  </w:style>
  <w:style w:type="character" w:customStyle="1" w:styleId="Heading1Char">
    <w:name w:val="Heading 1 Char"/>
    <w:basedOn w:val="DefaultParagraphFont"/>
    <w:link w:val="Heading1"/>
    <w:uiPriority w:val="9"/>
    <w:rsid w:val="0016446A"/>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16446A"/>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16446A"/>
    <w:rPr>
      <w:rFonts w:asciiTheme="majorHAnsi" w:eastAsiaTheme="majorEastAsia" w:hAnsiTheme="majorHAnsi" w:cstheme="majorBidi"/>
      <w:color w:val="243F60" w:themeColor="accent1" w:themeShade="7F"/>
      <w:szCs w:val="24"/>
    </w:rPr>
  </w:style>
  <w:style w:type="character" w:customStyle="1" w:styleId="Heading4Char">
    <w:name w:val="Heading 4 Char"/>
    <w:basedOn w:val="DefaultParagraphFont"/>
    <w:link w:val="Heading4"/>
    <w:uiPriority w:val="9"/>
    <w:semiHidden/>
    <w:rsid w:val="0016446A"/>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16446A"/>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16446A"/>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16446A"/>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16446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6446A"/>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16446A"/>
    <w:rPr>
      <w:i/>
      <w:iCs/>
    </w:rPr>
  </w:style>
  <w:style w:type="character" w:customStyle="1" w:styleId="HTMLAddressChar">
    <w:name w:val="HTML Address Char"/>
    <w:basedOn w:val="DefaultParagraphFont"/>
    <w:link w:val="HTMLAddress"/>
    <w:uiPriority w:val="99"/>
    <w:semiHidden/>
    <w:rsid w:val="0016446A"/>
    <w:rPr>
      <w:i/>
      <w:iCs/>
    </w:rPr>
  </w:style>
  <w:style w:type="paragraph" w:styleId="HTMLPreformatted">
    <w:name w:val="HTML Preformatted"/>
    <w:basedOn w:val="Normal"/>
    <w:link w:val="HTMLPreformattedChar"/>
    <w:uiPriority w:val="99"/>
    <w:semiHidden/>
    <w:unhideWhenUsed/>
    <w:rsid w:val="0016446A"/>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6446A"/>
    <w:rPr>
      <w:rFonts w:ascii="Consolas" w:hAnsi="Consolas"/>
      <w:sz w:val="20"/>
      <w:szCs w:val="20"/>
    </w:rPr>
  </w:style>
  <w:style w:type="paragraph" w:styleId="Index1">
    <w:name w:val="index 1"/>
    <w:basedOn w:val="Normal"/>
    <w:next w:val="Normal"/>
    <w:autoRedefine/>
    <w:uiPriority w:val="99"/>
    <w:semiHidden/>
    <w:unhideWhenUsed/>
    <w:rsid w:val="0016446A"/>
    <w:pPr>
      <w:ind w:left="240" w:hanging="240"/>
    </w:pPr>
    <w:rPr>
      <w:rFonts w:ascii="Times New Roman" w:hAnsi="Times New Roman" w:cstheme="minorBidi"/>
      <w:sz w:val="24"/>
    </w:rPr>
  </w:style>
  <w:style w:type="paragraph" w:styleId="Index2">
    <w:name w:val="index 2"/>
    <w:basedOn w:val="Normal"/>
    <w:next w:val="Normal"/>
    <w:autoRedefine/>
    <w:uiPriority w:val="99"/>
    <w:semiHidden/>
    <w:unhideWhenUsed/>
    <w:rsid w:val="0016446A"/>
    <w:pPr>
      <w:ind w:left="480" w:hanging="240"/>
    </w:pPr>
    <w:rPr>
      <w:rFonts w:ascii="Times New Roman" w:hAnsi="Times New Roman" w:cstheme="minorBidi"/>
      <w:sz w:val="24"/>
    </w:rPr>
  </w:style>
  <w:style w:type="paragraph" w:styleId="Index3">
    <w:name w:val="index 3"/>
    <w:basedOn w:val="Normal"/>
    <w:next w:val="Normal"/>
    <w:autoRedefine/>
    <w:uiPriority w:val="99"/>
    <w:semiHidden/>
    <w:unhideWhenUsed/>
    <w:rsid w:val="0016446A"/>
    <w:pPr>
      <w:ind w:left="720" w:hanging="240"/>
    </w:pPr>
    <w:rPr>
      <w:rFonts w:ascii="Times New Roman" w:hAnsi="Times New Roman" w:cstheme="minorBidi"/>
      <w:sz w:val="24"/>
    </w:rPr>
  </w:style>
  <w:style w:type="paragraph" w:styleId="Index4">
    <w:name w:val="index 4"/>
    <w:basedOn w:val="Normal"/>
    <w:next w:val="Normal"/>
    <w:autoRedefine/>
    <w:uiPriority w:val="99"/>
    <w:semiHidden/>
    <w:unhideWhenUsed/>
    <w:rsid w:val="0016446A"/>
    <w:pPr>
      <w:ind w:left="960" w:hanging="240"/>
    </w:pPr>
    <w:rPr>
      <w:rFonts w:ascii="Times New Roman" w:hAnsi="Times New Roman" w:cstheme="minorBidi"/>
      <w:sz w:val="24"/>
    </w:rPr>
  </w:style>
  <w:style w:type="paragraph" w:styleId="Index5">
    <w:name w:val="index 5"/>
    <w:basedOn w:val="Normal"/>
    <w:next w:val="Normal"/>
    <w:autoRedefine/>
    <w:uiPriority w:val="99"/>
    <w:semiHidden/>
    <w:unhideWhenUsed/>
    <w:rsid w:val="0016446A"/>
    <w:pPr>
      <w:ind w:left="1200" w:hanging="240"/>
    </w:pPr>
    <w:rPr>
      <w:rFonts w:ascii="Times New Roman" w:hAnsi="Times New Roman" w:cstheme="minorBidi"/>
      <w:sz w:val="24"/>
    </w:rPr>
  </w:style>
  <w:style w:type="paragraph" w:styleId="Index6">
    <w:name w:val="index 6"/>
    <w:basedOn w:val="Normal"/>
    <w:next w:val="Normal"/>
    <w:autoRedefine/>
    <w:uiPriority w:val="99"/>
    <w:semiHidden/>
    <w:unhideWhenUsed/>
    <w:rsid w:val="0016446A"/>
    <w:pPr>
      <w:ind w:left="1440" w:hanging="240"/>
    </w:pPr>
    <w:rPr>
      <w:rFonts w:ascii="Times New Roman" w:hAnsi="Times New Roman" w:cstheme="minorBidi"/>
      <w:sz w:val="24"/>
    </w:rPr>
  </w:style>
  <w:style w:type="paragraph" w:styleId="Index7">
    <w:name w:val="index 7"/>
    <w:basedOn w:val="Normal"/>
    <w:next w:val="Normal"/>
    <w:autoRedefine/>
    <w:uiPriority w:val="99"/>
    <w:semiHidden/>
    <w:unhideWhenUsed/>
    <w:rsid w:val="0016446A"/>
    <w:pPr>
      <w:ind w:left="1680" w:hanging="240"/>
    </w:pPr>
    <w:rPr>
      <w:rFonts w:ascii="Times New Roman" w:hAnsi="Times New Roman" w:cstheme="minorBidi"/>
      <w:sz w:val="24"/>
    </w:rPr>
  </w:style>
  <w:style w:type="paragraph" w:styleId="Index8">
    <w:name w:val="index 8"/>
    <w:basedOn w:val="Normal"/>
    <w:next w:val="Normal"/>
    <w:autoRedefine/>
    <w:uiPriority w:val="99"/>
    <w:semiHidden/>
    <w:unhideWhenUsed/>
    <w:rsid w:val="0016446A"/>
    <w:pPr>
      <w:ind w:left="1920" w:hanging="240"/>
    </w:pPr>
    <w:rPr>
      <w:rFonts w:ascii="Times New Roman" w:hAnsi="Times New Roman" w:cstheme="minorBidi"/>
      <w:sz w:val="24"/>
    </w:rPr>
  </w:style>
  <w:style w:type="paragraph" w:styleId="Index9">
    <w:name w:val="index 9"/>
    <w:basedOn w:val="Normal"/>
    <w:next w:val="Normal"/>
    <w:autoRedefine/>
    <w:uiPriority w:val="99"/>
    <w:semiHidden/>
    <w:unhideWhenUsed/>
    <w:rsid w:val="0016446A"/>
    <w:pPr>
      <w:ind w:left="2160" w:hanging="240"/>
    </w:pPr>
    <w:rPr>
      <w:rFonts w:ascii="Times New Roman" w:hAnsi="Times New Roman" w:cstheme="minorBidi"/>
      <w:sz w:val="24"/>
    </w:rPr>
  </w:style>
  <w:style w:type="paragraph" w:styleId="IndexHeading">
    <w:name w:val="index heading"/>
    <w:basedOn w:val="Normal"/>
    <w:next w:val="Index1"/>
    <w:uiPriority w:val="99"/>
    <w:semiHidden/>
    <w:unhideWhenUsed/>
    <w:rsid w:val="0016446A"/>
    <w:rPr>
      <w:rFonts w:asciiTheme="majorHAnsi" w:eastAsiaTheme="majorEastAsia" w:hAnsiTheme="majorHAnsi" w:cstheme="majorBidi"/>
      <w:b/>
      <w:bCs/>
      <w:sz w:val="24"/>
    </w:rPr>
  </w:style>
  <w:style w:type="paragraph" w:styleId="IntenseQuote">
    <w:name w:val="Intense Quote"/>
    <w:basedOn w:val="Normal"/>
    <w:next w:val="Normal"/>
    <w:link w:val="IntenseQuoteChar"/>
    <w:uiPriority w:val="30"/>
    <w:qFormat/>
    <w:rsid w:val="0016446A"/>
    <w:pPr>
      <w:pBdr>
        <w:top w:val="single" w:sz="4" w:space="10" w:color="4F81BD" w:themeColor="accent1"/>
        <w:bottom w:val="single" w:sz="4" w:space="10" w:color="4F81BD" w:themeColor="accent1"/>
      </w:pBdr>
      <w:spacing w:before="360" w:after="360"/>
      <w:ind w:left="864" w:right="864"/>
      <w:jc w:val="center"/>
    </w:pPr>
    <w:rPr>
      <w:rFonts w:ascii="Times New Roman" w:hAnsi="Times New Roman" w:cstheme="minorBidi"/>
      <w:i/>
      <w:iCs/>
      <w:color w:val="4F81BD" w:themeColor="accent1"/>
      <w:sz w:val="24"/>
    </w:rPr>
  </w:style>
  <w:style w:type="character" w:customStyle="1" w:styleId="IntenseQuoteChar">
    <w:name w:val="Intense Quote Char"/>
    <w:basedOn w:val="DefaultParagraphFont"/>
    <w:link w:val="IntenseQuote"/>
    <w:uiPriority w:val="30"/>
    <w:rsid w:val="0016446A"/>
    <w:rPr>
      <w:i/>
      <w:iCs/>
      <w:color w:val="4F81BD" w:themeColor="accent1"/>
    </w:rPr>
  </w:style>
  <w:style w:type="paragraph" w:styleId="List">
    <w:name w:val="List"/>
    <w:basedOn w:val="Normal"/>
    <w:uiPriority w:val="99"/>
    <w:semiHidden/>
    <w:unhideWhenUsed/>
    <w:rsid w:val="0016446A"/>
    <w:pPr>
      <w:ind w:left="360" w:hanging="360"/>
      <w:contextualSpacing/>
    </w:pPr>
    <w:rPr>
      <w:rFonts w:ascii="Times New Roman" w:hAnsi="Times New Roman" w:cstheme="minorBidi"/>
      <w:sz w:val="24"/>
    </w:rPr>
  </w:style>
  <w:style w:type="paragraph" w:styleId="List2">
    <w:name w:val="List 2"/>
    <w:basedOn w:val="Normal"/>
    <w:uiPriority w:val="99"/>
    <w:semiHidden/>
    <w:unhideWhenUsed/>
    <w:rsid w:val="0016446A"/>
    <w:pPr>
      <w:ind w:left="720" w:hanging="360"/>
      <w:contextualSpacing/>
    </w:pPr>
    <w:rPr>
      <w:rFonts w:ascii="Times New Roman" w:hAnsi="Times New Roman" w:cstheme="minorBidi"/>
      <w:sz w:val="24"/>
    </w:rPr>
  </w:style>
  <w:style w:type="paragraph" w:styleId="List3">
    <w:name w:val="List 3"/>
    <w:basedOn w:val="Normal"/>
    <w:uiPriority w:val="99"/>
    <w:semiHidden/>
    <w:unhideWhenUsed/>
    <w:rsid w:val="0016446A"/>
    <w:pPr>
      <w:ind w:left="1080" w:hanging="360"/>
      <w:contextualSpacing/>
    </w:pPr>
    <w:rPr>
      <w:rFonts w:ascii="Times New Roman" w:hAnsi="Times New Roman" w:cstheme="minorBidi"/>
      <w:sz w:val="24"/>
    </w:rPr>
  </w:style>
  <w:style w:type="paragraph" w:styleId="List4">
    <w:name w:val="List 4"/>
    <w:basedOn w:val="Normal"/>
    <w:uiPriority w:val="99"/>
    <w:semiHidden/>
    <w:unhideWhenUsed/>
    <w:rsid w:val="0016446A"/>
    <w:pPr>
      <w:ind w:left="1440" w:hanging="360"/>
      <w:contextualSpacing/>
    </w:pPr>
    <w:rPr>
      <w:rFonts w:ascii="Times New Roman" w:hAnsi="Times New Roman" w:cstheme="minorBidi"/>
      <w:sz w:val="24"/>
    </w:rPr>
  </w:style>
  <w:style w:type="paragraph" w:styleId="List5">
    <w:name w:val="List 5"/>
    <w:basedOn w:val="Normal"/>
    <w:uiPriority w:val="99"/>
    <w:semiHidden/>
    <w:unhideWhenUsed/>
    <w:rsid w:val="0016446A"/>
    <w:pPr>
      <w:ind w:left="1800" w:hanging="360"/>
      <w:contextualSpacing/>
    </w:pPr>
    <w:rPr>
      <w:rFonts w:ascii="Times New Roman" w:hAnsi="Times New Roman" w:cstheme="minorBidi"/>
      <w:sz w:val="24"/>
    </w:rPr>
  </w:style>
  <w:style w:type="paragraph" w:styleId="ListBullet">
    <w:name w:val="List Bullet"/>
    <w:basedOn w:val="Normal"/>
    <w:uiPriority w:val="99"/>
    <w:semiHidden/>
    <w:unhideWhenUsed/>
    <w:rsid w:val="0016446A"/>
    <w:pPr>
      <w:numPr>
        <w:numId w:val="1"/>
      </w:numPr>
      <w:contextualSpacing/>
    </w:pPr>
    <w:rPr>
      <w:rFonts w:ascii="Times New Roman" w:hAnsi="Times New Roman" w:cstheme="minorBidi"/>
      <w:sz w:val="24"/>
    </w:rPr>
  </w:style>
  <w:style w:type="paragraph" w:styleId="ListBullet2">
    <w:name w:val="List Bullet 2"/>
    <w:basedOn w:val="Normal"/>
    <w:uiPriority w:val="99"/>
    <w:semiHidden/>
    <w:unhideWhenUsed/>
    <w:rsid w:val="0016446A"/>
    <w:pPr>
      <w:numPr>
        <w:numId w:val="2"/>
      </w:numPr>
      <w:contextualSpacing/>
    </w:pPr>
    <w:rPr>
      <w:rFonts w:ascii="Times New Roman" w:hAnsi="Times New Roman" w:cstheme="minorBidi"/>
      <w:sz w:val="24"/>
    </w:rPr>
  </w:style>
  <w:style w:type="paragraph" w:styleId="ListBullet3">
    <w:name w:val="List Bullet 3"/>
    <w:basedOn w:val="Normal"/>
    <w:uiPriority w:val="99"/>
    <w:semiHidden/>
    <w:unhideWhenUsed/>
    <w:rsid w:val="0016446A"/>
    <w:pPr>
      <w:numPr>
        <w:numId w:val="3"/>
      </w:numPr>
      <w:contextualSpacing/>
    </w:pPr>
    <w:rPr>
      <w:rFonts w:ascii="Times New Roman" w:hAnsi="Times New Roman" w:cstheme="minorBidi"/>
      <w:sz w:val="24"/>
    </w:rPr>
  </w:style>
  <w:style w:type="paragraph" w:styleId="ListBullet4">
    <w:name w:val="List Bullet 4"/>
    <w:basedOn w:val="Normal"/>
    <w:uiPriority w:val="99"/>
    <w:semiHidden/>
    <w:unhideWhenUsed/>
    <w:rsid w:val="0016446A"/>
    <w:pPr>
      <w:numPr>
        <w:numId w:val="4"/>
      </w:numPr>
      <w:contextualSpacing/>
    </w:pPr>
    <w:rPr>
      <w:rFonts w:ascii="Times New Roman" w:hAnsi="Times New Roman" w:cstheme="minorBidi"/>
      <w:sz w:val="24"/>
    </w:rPr>
  </w:style>
  <w:style w:type="paragraph" w:styleId="ListBullet5">
    <w:name w:val="List Bullet 5"/>
    <w:basedOn w:val="Normal"/>
    <w:uiPriority w:val="99"/>
    <w:semiHidden/>
    <w:unhideWhenUsed/>
    <w:rsid w:val="0016446A"/>
    <w:pPr>
      <w:numPr>
        <w:numId w:val="5"/>
      </w:numPr>
      <w:contextualSpacing/>
    </w:pPr>
    <w:rPr>
      <w:rFonts w:ascii="Times New Roman" w:hAnsi="Times New Roman" w:cstheme="minorBidi"/>
      <w:sz w:val="24"/>
    </w:rPr>
  </w:style>
  <w:style w:type="paragraph" w:styleId="ListContinue">
    <w:name w:val="List Continue"/>
    <w:basedOn w:val="Normal"/>
    <w:uiPriority w:val="99"/>
    <w:semiHidden/>
    <w:unhideWhenUsed/>
    <w:rsid w:val="0016446A"/>
    <w:pPr>
      <w:spacing w:after="120"/>
      <w:ind w:left="360"/>
      <w:contextualSpacing/>
    </w:pPr>
    <w:rPr>
      <w:rFonts w:ascii="Times New Roman" w:hAnsi="Times New Roman" w:cstheme="minorBidi"/>
      <w:sz w:val="24"/>
    </w:rPr>
  </w:style>
  <w:style w:type="paragraph" w:styleId="ListContinue2">
    <w:name w:val="List Continue 2"/>
    <w:basedOn w:val="Normal"/>
    <w:uiPriority w:val="99"/>
    <w:semiHidden/>
    <w:unhideWhenUsed/>
    <w:rsid w:val="0016446A"/>
    <w:pPr>
      <w:spacing w:after="120"/>
      <w:ind w:left="720"/>
      <w:contextualSpacing/>
    </w:pPr>
    <w:rPr>
      <w:rFonts w:ascii="Times New Roman" w:hAnsi="Times New Roman" w:cstheme="minorBidi"/>
      <w:sz w:val="24"/>
    </w:rPr>
  </w:style>
  <w:style w:type="paragraph" w:styleId="ListContinue3">
    <w:name w:val="List Continue 3"/>
    <w:basedOn w:val="Normal"/>
    <w:uiPriority w:val="99"/>
    <w:semiHidden/>
    <w:unhideWhenUsed/>
    <w:rsid w:val="0016446A"/>
    <w:pPr>
      <w:spacing w:after="120"/>
      <w:ind w:left="1080"/>
      <w:contextualSpacing/>
    </w:pPr>
    <w:rPr>
      <w:rFonts w:ascii="Times New Roman" w:hAnsi="Times New Roman" w:cstheme="minorBidi"/>
      <w:sz w:val="24"/>
    </w:rPr>
  </w:style>
  <w:style w:type="paragraph" w:styleId="ListContinue4">
    <w:name w:val="List Continue 4"/>
    <w:basedOn w:val="Normal"/>
    <w:uiPriority w:val="99"/>
    <w:semiHidden/>
    <w:unhideWhenUsed/>
    <w:rsid w:val="0016446A"/>
    <w:pPr>
      <w:spacing w:after="120"/>
      <w:ind w:left="1440"/>
      <w:contextualSpacing/>
    </w:pPr>
    <w:rPr>
      <w:rFonts w:ascii="Times New Roman" w:hAnsi="Times New Roman" w:cstheme="minorBidi"/>
      <w:sz w:val="24"/>
    </w:rPr>
  </w:style>
  <w:style w:type="paragraph" w:styleId="ListContinue5">
    <w:name w:val="List Continue 5"/>
    <w:basedOn w:val="Normal"/>
    <w:uiPriority w:val="99"/>
    <w:semiHidden/>
    <w:unhideWhenUsed/>
    <w:rsid w:val="0016446A"/>
    <w:pPr>
      <w:spacing w:after="120"/>
      <w:ind w:left="1800"/>
      <w:contextualSpacing/>
    </w:pPr>
    <w:rPr>
      <w:rFonts w:ascii="Times New Roman" w:hAnsi="Times New Roman" w:cstheme="minorBidi"/>
      <w:sz w:val="24"/>
    </w:rPr>
  </w:style>
  <w:style w:type="paragraph" w:styleId="ListNumber">
    <w:name w:val="List Number"/>
    <w:basedOn w:val="Normal"/>
    <w:uiPriority w:val="99"/>
    <w:semiHidden/>
    <w:unhideWhenUsed/>
    <w:rsid w:val="0016446A"/>
    <w:pPr>
      <w:numPr>
        <w:numId w:val="6"/>
      </w:numPr>
      <w:contextualSpacing/>
    </w:pPr>
    <w:rPr>
      <w:rFonts w:ascii="Times New Roman" w:hAnsi="Times New Roman" w:cstheme="minorBidi"/>
      <w:sz w:val="24"/>
    </w:rPr>
  </w:style>
  <w:style w:type="paragraph" w:styleId="ListNumber2">
    <w:name w:val="List Number 2"/>
    <w:basedOn w:val="Normal"/>
    <w:uiPriority w:val="99"/>
    <w:semiHidden/>
    <w:unhideWhenUsed/>
    <w:rsid w:val="0016446A"/>
    <w:pPr>
      <w:numPr>
        <w:numId w:val="7"/>
      </w:numPr>
      <w:contextualSpacing/>
    </w:pPr>
    <w:rPr>
      <w:rFonts w:ascii="Times New Roman" w:hAnsi="Times New Roman" w:cstheme="minorBidi"/>
      <w:sz w:val="24"/>
    </w:rPr>
  </w:style>
  <w:style w:type="paragraph" w:styleId="ListNumber3">
    <w:name w:val="List Number 3"/>
    <w:basedOn w:val="Normal"/>
    <w:uiPriority w:val="99"/>
    <w:semiHidden/>
    <w:unhideWhenUsed/>
    <w:rsid w:val="0016446A"/>
    <w:pPr>
      <w:numPr>
        <w:numId w:val="8"/>
      </w:numPr>
      <w:contextualSpacing/>
    </w:pPr>
    <w:rPr>
      <w:rFonts w:ascii="Times New Roman" w:hAnsi="Times New Roman" w:cstheme="minorBidi"/>
      <w:sz w:val="24"/>
    </w:rPr>
  </w:style>
  <w:style w:type="paragraph" w:styleId="ListNumber4">
    <w:name w:val="List Number 4"/>
    <w:basedOn w:val="Normal"/>
    <w:uiPriority w:val="99"/>
    <w:semiHidden/>
    <w:unhideWhenUsed/>
    <w:rsid w:val="0016446A"/>
    <w:pPr>
      <w:numPr>
        <w:numId w:val="9"/>
      </w:numPr>
      <w:contextualSpacing/>
    </w:pPr>
    <w:rPr>
      <w:rFonts w:ascii="Times New Roman" w:hAnsi="Times New Roman" w:cstheme="minorBidi"/>
      <w:sz w:val="24"/>
    </w:rPr>
  </w:style>
  <w:style w:type="paragraph" w:styleId="ListNumber5">
    <w:name w:val="List Number 5"/>
    <w:basedOn w:val="Normal"/>
    <w:uiPriority w:val="99"/>
    <w:semiHidden/>
    <w:unhideWhenUsed/>
    <w:rsid w:val="0016446A"/>
    <w:pPr>
      <w:numPr>
        <w:numId w:val="10"/>
      </w:numPr>
      <w:contextualSpacing/>
    </w:pPr>
    <w:rPr>
      <w:rFonts w:ascii="Times New Roman" w:hAnsi="Times New Roman" w:cstheme="minorBidi"/>
      <w:sz w:val="24"/>
    </w:rPr>
  </w:style>
  <w:style w:type="paragraph" w:styleId="ListParagraph">
    <w:name w:val="List Paragraph"/>
    <w:basedOn w:val="Normal"/>
    <w:uiPriority w:val="34"/>
    <w:qFormat/>
    <w:rsid w:val="0016446A"/>
    <w:pPr>
      <w:ind w:left="720"/>
      <w:contextualSpacing/>
    </w:pPr>
    <w:rPr>
      <w:rFonts w:ascii="Times New Roman" w:hAnsi="Times New Roman" w:cstheme="minorBidi"/>
      <w:sz w:val="24"/>
    </w:rPr>
  </w:style>
  <w:style w:type="paragraph" w:styleId="MacroText">
    <w:name w:val="macro"/>
    <w:link w:val="MacroTextChar"/>
    <w:uiPriority w:val="99"/>
    <w:semiHidden/>
    <w:unhideWhenUsed/>
    <w:rsid w:val="0016446A"/>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16446A"/>
    <w:rPr>
      <w:rFonts w:ascii="Consolas" w:hAnsi="Consolas"/>
      <w:sz w:val="20"/>
      <w:szCs w:val="20"/>
    </w:rPr>
  </w:style>
  <w:style w:type="paragraph" w:styleId="MessageHeader">
    <w:name w:val="Message Header"/>
    <w:basedOn w:val="Normal"/>
    <w:link w:val="MessageHeaderChar"/>
    <w:uiPriority w:val="99"/>
    <w:semiHidden/>
    <w:unhideWhenUsed/>
    <w:rsid w:val="001644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16446A"/>
    <w:rPr>
      <w:rFonts w:asciiTheme="majorHAnsi" w:eastAsiaTheme="majorEastAsia" w:hAnsiTheme="majorHAnsi" w:cstheme="majorBidi"/>
      <w:szCs w:val="24"/>
      <w:shd w:val="pct20" w:color="auto" w:fill="auto"/>
    </w:rPr>
  </w:style>
  <w:style w:type="paragraph" w:styleId="NoSpacing">
    <w:name w:val="No Spacing"/>
    <w:uiPriority w:val="1"/>
    <w:qFormat/>
    <w:rsid w:val="0016446A"/>
  </w:style>
  <w:style w:type="paragraph" w:styleId="NormalWeb">
    <w:name w:val="Normal (Web)"/>
    <w:basedOn w:val="Normal"/>
    <w:uiPriority w:val="99"/>
    <w:semiHidden/>
    <w:unhideWhenUsed/>
    <w:rsid w:val="0016446A"/>
    <w:rPr>
      <w:rFonts w:cs="Times New Roman"/>
      <w:szCs w:val="24"/>
    </w:rPr>
  </w:style>
  <w:style w:type="paragraph" w:styleId="NormalIndent">
    <w:name w:val="Normal Indent"/>
    <w:basedOn w:val="Normal"/>
    <w:uiPriority w:val="99"/>
    <w:semiHidden/>
    <w:unhideWhenUsed/>
    <w:rsid w:val="0016446A"/>
    <w:pPr>
      <w:ind w:left="720"/>
    </w:pPr>
    <w:rPr>
      <w:rFonts w:ascii="Times New Roman" w:hAnsi="Times New Roman" w:cstheme="minorBidi"/>
      <w:sz w:val="24"/>
    </w:rPr>
  </w:style>
  <w:style w:type="paragraph" w:customStyle="1" w:styleId="NoteHeading1">
    <w:name w:val="Note Heading1"/>
    <w:basedOn w:val="Normal"/>
    <w:next w:val="Normal"/>
    <w:link w:val="NoteHeadingChar"/>
    <w:uiPriority w:val="99"/>
    <w:semiHidden/>
    <w:unhideWhenUsed/>
    <w:rsid w:val="0016446A"/>
  </w:style>
  <w:style w:type="character" w:customStyle="1" w:styleId="NoteHeadingChar">
    <w:name w:val="Note Heading Char"/>
    <w:basedOn w:val="DefaultParagraphFont"/>
    <w:link w:val="NoteHeading1"/>
    <w:uiPriority w:val="99"/>
    <w:semiHidden/>
    <w:rsid w:val="0016446A"/>
  </w:style>
  <w:style w:type="paragraph" w:styleId="PlainText">
    <w:name w:val="Plain Text"/>
    <w:basedOn w:val="Normal"/>
    <w:link w:val="PlainTextChar"/>
    <w:uiPriority w:val="99"/>
    <w:semiHidden/>
    <w:unhideWhenUsed/>
    <w:rsid w:val="0016446A"/>
    <w:rPr>
      <w:rFonts w:ascii="Consolas" w:hAnsi="Consolas"/>
      <w:sz w:val="21"/>
      <w:szCs w:val="21"/>
    </w:rPr>
  </w:style>
  <w:style w:type="character" w:customStyle="1" w:styleId="PlainTextChar">
    <w:name w:val="Plain Text Char"/>
    <w:basedOn w:val="DefaultParagraphFont"/>
    <w:link w:val="PlainText"/>
    <w:uiPriority w:val="99"/>
    <w:semiHidden/>
    <w:rsid w:val="0016446A"/>
    <w:rPr>
      <w:rFonts w:ascii="Consolas" w:hAnsi="Consolas"/>
      <w:sz w:val="21"/>
      <w:szCs w:val="21"/>
    </w:rPr>
  </w:style>
  <w:style w:type="paragraph" w:styleId="Quote">
    <w:name w:val="Quote"/>
    <w:basedOn w:val="Normal"/>
    <w:next w:val="Normal"/>
    <w:link w:val="QuoteChar"/>
    <w:uiPriority w:val="29"/>
    <w:qFormat/>
    <w:rsid w:val="0016446A"/>
    <w:pPr>
      <w:spacing w:before="200" w:after="160"/>
      <w:ind w:left="864" w:right="864"/>
      <w:jc w:val="center"/>
    </w:pPr>
    <w:rPr>
      <w:rFonts w:ascii="Times New Roman" w:hAnsi="Times New Roman" w:cstheme="minorBidi"/>
      <w:i/>
      <w:iCs/>
      <w:color w:val="404040" w:themeColor="text1" w:themeTint="BF"/>
      <w:sz w:val="24"/>
    </w:rPr>
  </w:style>
  <w:style w:type="character" w:customStyle="1" w:styleId="QuoteChar">
    <w:name w:val="Quote Char"/>
    <w:basedOn w:val="DefaultParagraphFont"/>
    <w:link w:val="Quote"/>
    <w:uiPriority w:val="29"/>
    <w:rsid w:val="0016446A"/>
    <w:rPr>
      <w:i/>
      <w:iCs/>
      <w:color w:val="404040" w:themeColor="text1" w:themeTint="BF"/>
    </w:rPr>
  </w:style>
  <w:style w:type="paragraph" w:styleId="Salutation">
    <w:name w:val="Salutation"/>
    <w:basedOn w:val="Normal"/>
    <w:next w:val="Normal"/>
    <w:link w:val="SalutationChar"/>
    <w:uiPriority w:val="99"/>
    <w:semiHidden/>
    <w:unhideWhenUsed/>
    <w:rsid w:val="0016446A"/>
  </w:style>
  <w:style w:type="character" w:customStyle="1" w:styleId="SalutationChar">
    <w:name w:val="Salutation Char"/>
    <w:basedOn w:val="DefaultParagraphFont"/>
    <w:link w:val="Salutation"/>
    <w:uiPriority w:val="99"/>
    <w:semiHidden/>
    <w:rsid w:val="0016446A"/>
  </w:style>
  <w:style w:type="paragraph" w:styleId="Signature">
    <w:name w:val="Signature"/>
    <w:basedOn w:val="Normal"/>
    <w:link w:val="SignatureChar"/>
    <w:uiPriority w:val="99"/>
    <w:semiHidden/>
    <w:unhideWhenUsed/>
    <w:rsid w:val="0016446A"/>
    <w:pPr>
      <w:ind w:left="4320"/>
    </w:pPr>
    <w:rPr>
      <w:rFonts w:ascii="Times New Roman" w:hAnsi="Times New Roman" w:cstheme="minorBidi"/>
      <w:sz w:val="24"/>
    </w:rPr>
  </w:style>
  <w:style w:type="character" w:customStyle="1" w:styleId="SignatureChar">
    <w:name w:val="Signature Char"/>
    <w:basedOn w:val="DefaultParagraphFont"/>
    <w:link w:val="Signature"/>
    <w:uiPriority w:val="99"/>
    <w:semiHidden/>
    <w:rsid w:val="0016446A"/>
  </w:style>
  <w:style w:type="paragraph" w:styleId="Subtitle">
    <w:name w:val="Subtitle"/>
    <w:basedOn w:val="Normal"/>
    <w:next w:val="Normal"/>
    <w:link w:val="SubtitleChar"/>
    <w:uiPriority w:val="11"/>
    <w:qFormat/>
    <w:rsid w:val="0016446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6446A"/>
    <w:rPr>
      <w:rFonts w:asciiTheme="minorHAnsi" w:eastAsiaTheme="minorEastAsia" w:hAnsiTheme="minorHAnsi"/>
      <w:color w:val="5A5A5A" w:themeColor="text1" w:themeTint="A5"/>
      <w:spacing w:val="15"/>
      <w:sz w:val="22"/>
    </w:rPr>
  </w:style>
  <w:style w:type="paragraph" w:styleId="TableofAuthorities">
    <w:name w:val="table of authorities"/>
    <w:basedOn w:val="Normal"/>
    <w:next w:val="Normal"/>
    <w:uiPriority w:val="99"/>
    <w:semiHidden/>
    <w:unhideWhenUsed/>
    <w:rsid w:val="0016446A"/>
    <w:pPr>
      <w:ind w:left="240" w:hanging="240"/>
    </w:pPr>
    <w:rPr>
      <w:rFonts w:ascii="Times New Roman" w:hAnsi="Times New Roman" w:cstheme="minorBidi"/>
      <w:sz w:val="24"/>
    </w:rPr>
  </w:style>
  <w:style w:type="paragraph" w:styleId="TableofFigures">
    <w:name w:val="table of figures"/>
    <w:basedOn w:val="Normal"/>
    <w:next w:val="Normal"/>
    <w:uiPriority w:val="99"/>
    <w:semiHidden/>
    <w:unhideWhenUsed/>
    <w:rsid w:val="0016446A"/>
    <w:rPr>
      <w:rFonts w:ascii="Times New Roman" w:hAnsi="Times New Roman" w:cstheme="minorBidi"/>
      <w:sz w:val="24"/>
    </w:rPr>
  </w:style>
  <w:style w:type="paragraph" w:styleId="Title">
    <w:name w:val="Title"/>
    <w:basedOn w:val="Normal"/>
    <w:next w:val="Normal"/>
    <w:link w:val="TitleChar"/>
    <w:uiPriority w:val="10"/>
    <w:qFormat/>
    <w:rsid w:val="0016446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446A"/>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1644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16446A"/>
    <w:pPr>
      <w:spacing w:after="100"/>
    </w:pPr>
    <w:rPr>
      <w:rFonts w:ascii="Times New Roman" w:hAnsi="Times New Roman" w:cstheme="minorBidi"/>
      <w:sz w:val="24"/>
    </w:rPr>
  </w:style>
  <w:style w:type="paragraph" w:styleId="TOC2">
    <w:name w:val="toc 2"/>
    <w:basedOn w:val="Normal"/>
    <w:next w:val="Normal"/>
    <w:autoRedefine/>
    <w:uiPriority w:val="39"/>
    <w:semiHidden/>
    <w:unhideWhenUsed/>
    <w:rsid w:val="0016446A"/>
    <w:pPr>
      <w:spacing w:after="100"/>
      <w:ind w:left="240"/>
    </w:pPr>
    <w:rPr>
      <w:rFonts w:ascii="Times New Roman" w:hAnsi="Times New Roman" w:cstheme="minorBidi"/>
      <w:sz w:val="24"/>
    </w:rPr>
  </w:style>
  <w:style w:type="paragraph" w:styleId="TOC3">
    <w:name w:val="toc 3"/>
    <w:basedOn w:val="Normal"/>
    <w:next w:val="Normal"/>
    <w:autoRedefine/>
    <w:uiPriority w:val="39"/>
    <w:semiHidden/>
    <w:unhideWhenUsed/>
    <w:rsid w:val="0016446A"/>
    <w:pPr>
      <w:spacing w:after="100"/>
      <w:ind w:left="480"/>
    </w:pPr>
    <w:rPr>
      <w:rFonts w:ascii="Times New Roman" w:hAnsi="Times New Roman" w:cstheme="minorBidi"/>
      <w:sz w:val="24"/>
    </w:rPr>
  </w:style>
  <w:style w:type="paragraph" w:styleId="TOC4">
    <w:name w:val="toc 4"/>
    <w:basedOn w:val="Normal"/>
    <w:next w:val="Normal"/>
    <w:autoRedefine/>
    <w:uiPriority w:val="39"/>
    <w:semiHidden/>
    <w:unhideWhenUsed/>
    <w:rsid w:val="0016446A"/>
    <w:pPr>
      <w:spacing w:after="100"/>
      <w:ind w:left="720"/>
    </w:pPr>
    <w:rPr>
      <w:rFonts w:ascii="Times New Roman" w:hAnsi="Times New Roman" w:cstheme="minorBidi"/>
      <w:sz w:val="24"/>
    </w:rPr>
  </w:style>
  <w:style w:type="paragraph" w:styleId="TOC5">
    <w:name w:val="toc 5"/>
    <w:basedOn w:val="Normal"/>
    <w:next w:val="Normal"/>
    <w:autoRedefine/>
    <w:uiPriority w:val="39"/>
    <w:semiHidden/>
    <w:unhideWhenUsed/>
    <w:rsid w:val="0016446A"/>
    <w:pPr>
      <w:spacing w:after="100"/>
      <w:ind w:left="960"/>
    </w:pPr>
    <w:rPr>
      <w:rFonts w:ascii="Times New Roman" w:hAnsi="Times New Roman" w:cstheme="minorBidi"/>
      <w:sz w:val="24"/>
    </w:rPr>
  </w:style>
  <w:style w:type="paragraph" w:styleId="TOC6">
    <w:name w:val="toc 6"/>
    <w:basedOn w:val="Normal"/>
    <w:next w:val="Normal"/>
    <w:autoRedefine/>
    <w:uiPriority w:val="39"/>
    <w:semiHidden/>
    <w:unhideWhenUsed/>
    <w:rsid w:val="0016446A"/>
    <w:pPr>
      <w:spacing w:after="100"/>
      <w:ind w:left="1200"/>
    </w:pPr>
    <w:rPr>
      <w:rFonts w:ascii="Times New Roman" w:hAnsi="Times New Roman" w:cstheme="minorBidi"/>
      <w:sz w:val="24"/>
    </w:rPr>
  </w:style>
  <w:style w:type="paragraph" w:styleId="TOC7">
    <w:name w:val="toc 7"/>
    <w:basedOn w:val="Normal"/>
    <w:next w:val="Normal"/>
    <w:autoRedefine/>
    <w:uiPriority w:val="39"/>
    <w:semiHidden/>
    <w:unhideWhenUsed/>
    <w:rsid w:val="0016446A"/>
    <w:pPr>
      <w:spacing w:after="100"/>
      <w:ind w:left="1440"/>
    </w:pPr>
    <w:rPr>
      <w:rFonts w:ascii="Times New Roman" w:hAnsi="Times New Roman" w:cstheme="minorBidi"/>
      <w:sz w:val="24"/>
    </w:rPr>
  </w:style>
  <w:style w:type="paragraph" w:styleId="TOC8">
    <w:name w:val="toc 8"/>
    <w:basedOn w:val="Normal"/>
    <w:next w:val="Normal"/>
    <w:autoRedefine/>
    <w:uiPriority w:val="39"/>
    <w:semiHidden/>
    <w:unhideWhenUsed/>
    <w:rsid w:val="0016446A"/>
    <w:pPr>
      <w:spacing w:after="100"/>
      <w:ind w:left="1680"/>
    </w:pPr>
    <w:rPr>
      <w:rFonts w:ascii="Times New Roman" w:hAnsi="Times New Roman" w:cstheme="minorBidi"/>
      <w:sz w:val="24"/>
    </w:rPr>
  </w:style>
  <w:style w:type="paragraph" w:styleId="TOC9">
    <w:name w:val="toc 9"/>
    <w:basedOn w:val="Normal"/>
    <w:next w:val="Normal"/>
    <w:autoRedefine/>
    <w:uiPriority w:val="39"/>
    <w:semiHidden/>
    <w:unhideWhenUsed/>
    <w:rsid w:val="0016446A"/>
    <w:pPr>
      <w:spacing w:after="100"/>
      <w:ind w:left="1920"/>
    </w:pPr>
    <w:rPr>
      <w:rFonts w:ascii="Times New Roman" w:hAnsi="Times New Roman" w:cstheme="minorBidi"/>
      <w:sz w:val="24"/>
    </w:rPr>
  </w:style>
  <w:style w:type="paragraph" w:styleId="TOCHeading">
    <w:name w:val="TOC Heading"/>
    <w:basedOn w:val="Heading1"/>
    <w:next w:val="Normal"/>
    <w:uiPriority w:val="39"/>
    <w:semiHidden/>
    <w:unhideWhenUsed/>
    <w:qFormat/>
    <w:rsid w:val="0016446A"/>
    <w:pPr>
      <w:outlineLvl w:val="9"/>
    </w:pPr>
  </w:style>
  <w:style w:type="paragraph" w:customStyle="1" w:styleId="Default">
    <w:name w:val="Default"/>
    <w:rsid w:val="00584802"/>
    <w:pPr>
      <w:autoSpaceDE w:val="0"/>
      <w:autoSpaceDN w:val="0"/>
      <w:adjustRightInd w:val="0"/>
    </w:pPr>
    <w:rPr>
      <w:rFonts w:cs="Times New Roman"/>
      <w:color w:val="000000"/>
      <w:szCs w:val="24"/>
    </w:rPr>
  </w:style>
  <w:style w:type="character" w:styleId="Hyperlink">
    <w:name w:val="Hyperlink"/>
    <w:basedOn w:val="DefaultParagraphFont"/>
    <w:uiPriority w:val="99"/>
    <w:unhideWhenUsed/>
    <w:rsid w:val="00EC7521"/>
    <w:rPr>
      <w:color w:val="0000FF" w:themeColor="hyperlink"/>
      <w:u w:val="single"/>
    </w:rPr>
  </w:style>
  <w:style w:type="character" w:customStyle="1" w:styleId="UnresolvedMention1">
    <w:name w:val="Unresolved Mention1"/>
    <w:basedOn w:val="DefaultParagraphFont"/>
    <w:uiPriority w:val="99"/>
    <w:semiHidden/>
    <w:unhideWhenUsed/>
    <w:rsid w:val="00EC7521"/>
    <w:rPr>
      <w:color w:val="605E5C"/>
      <w:shd w:val="clear" w:color="auto" w:fill="E1DFDD"/>
    </w:rPr>
  </w:style>
  <w:style w:type="character" w:styleId="UnresolvedMention">
    <w:name w:val="Unresolved Mention"/>
    <w:basedOn w:val="DefaultParagraphFont"/>
    <w:uiPriority w:val="99"/>
    <w:rsid w:val="00D749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878779">
      <w:bodyDiv w:val="1"/>
      <w:marLeft w:val="0"/>
      <w:marRight w:val="0"/>
      <w:marTop w:val="0"/>
      <w:marBottom w:val="0"/>
      <w:divBdr>
        <w:top w:val="none" w:sz="0" w:space="0" w:color="auto"/>
        <w:left w:val="none" w:sz="0" w:space="0" w:color="auto"/>
        <w:bottom w:val="none" w:sz="0" w:space="0" w:color="auto"/>
        <w:right w:val="none" w:sz="0" w:space="0" w:color="auto"/>
      </w:divBdr>
    </w:div>
    <w:div w:id="1440180744">
      <w:bodyDiv w:val="1"/>
      <w:marLeft w:val="0"/>
      <w:marRight w:val="0"/>
      <w:marTop w:val="0"/>
      <w:marBottom w:val="0"/>
      <w:divBdr>
        <w:top w:val="none" w:sz="0" w:space="0" w:color="auto"/>
        <w:left w:val="none" w:sz="0" w:space="0" w:color="auto"/>
        <w:bottom w:val="none" w:sz="0" w:space="0" w:color="auto"/>
        <w:right w:val="none" w:sz="0" w:space="0" w:color="auto"/>
      </w:divBdr>
      <w:divsChild>
        <w:div w:id="2057465586">
          <w:marLeft w:val="0"/>
          <w:marRight w:val="0"/>
          <w:marTop w:val="0"/>
          <w:marBottom w:val="0"/>
          <w:divBdr>
            <w:top w:val="none" w:sz="0" w:space="0" w:color="auto"/>
            <w:left w:val="none" w:sz="0" w:space="0" w:color="auto"/>
            <w:bottom w:val="none" w:sz="0" w:space="0" w:color="auto"/>
            <w:right w:val="none" w:sz="0" w:space="0" w:color="auto"/>
          </w:divBdr>
        </w:div>
      </w:divsChild>
    </w:div>
    <w:div w:id="166639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ataxadvocates.or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ataxadvocates.or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Pages>
  <Words>1043</Words>
  <Characters>5947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DePasquale</dc:creator>
  <cp:lastModifiedBy>James DePasquale</cp:lastModifiedBy>
  <cp:revision>8</cp:revision>
  <dcterms:created xsi:type="dcterms:W3CDTF">2026-07-01T03:58:00Z</dcterms:created>
  <dcterms:modified xsi:type="dcterms:W3CDTF">2026-07-16T20:21:00Z</dcterms:modified>
</cp:coreProperties>
</file>